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015C" w:rsidR="00B9015C" w:rsidP="00B9015C" w:rsidRDefault="00B9015C" w14:paraId="62077A5D" w14:textId="77777777">
      <w:r w:rsidRPr="00B9015C">
        <w:rPr>
          <w:noProof/>
          <w:lang w:eastAsia="en-GB"/>
        </w:rPr>
        <w:drawing>
          <wp:inline distT="0" distB="0" distL="0" distR="0" wp14:anchorId="2530FB8D" wp14:editId="632F18AD">
            <wp:extent cx="1704975" cy="552450"/>
            <wp:effectExtent l="0" t="0" r="9525" b="0"/>
            <wp:docPr id="2" name="Picture 2" descr="University of Worceste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ogo.gif"/>
                    <pic:cNvPicPr/>
                  </pic:nvPicPr>
                  <pic:blipFill>
                    <a:blip r:embed="rId11">
                      <a:extLst>
                        <a:ext uri="{28A0092B-C50C-407E-A947-70E740481C1C}">
                          <a14:useLocalDpi xmlns:a14="http://schemas.microsoft.com/office/drawing/2010/main" val="0"/>
                        </a:ext>
                      </a:extLst>
                    </a:blip>
                    <a:stretch>
                      <a:fillRect/>
                    </a:stretch>
                  </pic:blipFill>
                  <pic:spPr>
                    <a:xfrm>
                      <a:off x="0" y="0"/>
                      <a:ext cx="1704975" cy="552450"/>
                    </a:xfrm>
                    <a:prstGeom prst="rect">
                      <a:avLst/>
                    </a:prstGeom>
                  </pic:spPr>
                </pic:pic>
              </a:graphicData>
            </a:graphic>
          </wp:inline>
        </w:drawing>
      </w:r>
    </w:p>
    <w:p w:rsidRPr="00B9015C" w:rsidR="00B9015C" w:rsidP="00B9015C" w:rsidRDefault="00B9015C" w14:paraId="53EE2045" w14:textId="77777777"/>
    <w:p w:rsidRPr="00B9015C" w:rsidR="00B9015C" w:rsidP="00B9015C" w:rsidRDefault="00B9015C" w14:paraId="7158D2C7" w14:textId="77777777">
      <w:r w:rsidRPr="00B9015C">
        <w:rPr>
          <w:rFonts w:ascii="Calibri" w:hAnsi="Calibri" w:cs="Calibri"/>
          <w:sz w:val="32"/>
          <w:szCs w:val="32"/>
        </w:rPr>
        <w:t>POLICY and PROCEDURES on INCLUSIVE ASSESSMENT, REASONABLE ADJUSTMENTS and ALTERNATIVE ASSESSMENT ARRANGEMENTS FOR STUDENTS with IMPAIRMENTS or DISABILITIES</w:t>
      </w:r>
    </w:p>
    <w:sdt>
      <w:sdtPr>
        <w:id w:val="711848549"/>
        <w:docPartObj>
          <w:docPartGallery w:val="Table of Contents"/>
          <w:docPartUnique/>
        </w:docPartObj>
      </w:sdtPr>
      <w:sdtEndPr>
        <w:rPr>
          <w:bCs/>
          <w:noProof/>
        </w:rPr>
      </w:sdtEndPr>
      <w:sdtContent>
        <w:p w:rsidRPr="00B9015C" w:rsidR="00B9015C" w:rsidP="00B9015C" w:rsidRDefault="00B9015C" w14:paraId="779B02B8" w14:textId="77777777">
          <w:pPr>
            <w:keepNext/>
            <w:keepLines/>
            <w:spacing w:before="240" w:line="259" w:lineRule="auto"/>
            <w:rPr>
              <w:rFonts w:cs="Arial" w:eastAsiaTheme="majorEastAsia"/>
              <w:b w:val="0"/>
              <w:color w:val="000000" w:themeColor="text1"/>
              <w:sz w:val="32"/>
              <w:szCs w:val="32"/>
              <w:lang w:val="en-US"/>
            </w:rPr>
          </w:pPr>
          <w:r w:rsidRPr="00B9015C">
            <w:rPr>
              <w:rFonts w:cs="Arial" w:eastAsiaTheme="majorEastAsia"/>
              <w:b w:val="0"/>
              <w:color w:val="000000" w:themeColor="text1"/>
              <w:sz w:val="32"/>
              <w:szCs w:val="32"/>
              <w:lang w:val="en-US"/>
            </w:rPr>
            <w:t>Contents</w:t>
          </w:r>
        </w:p>
        <w:p w:rsidR="002B6B47" w:rsidRDefault="00B9015C" w14:paraId="4C7E48B6" w14:textId="3722F5D2">
          <w:pPr>
            <w:pStyle w:val="TOC2"/>
            <w:tabs>
              <w:tab w:val="left" w:pos="660"/>
              <w:tab w:val="right" w:leader="dot" w:pos="9016"/>
            </w:tabs>
            <w:rPr>
              <w:rFonts w:asciiTheme="minorHAnsi" w:hAnsiTheme="minorHAnsi" w:eastAsiaTheme="minorEastAsia"/>
              <w:b w:val="0"/>
              <w:noProof/>
              <w:sz w:val="22"/>
              <w:lang w:eastAsia="en-GB"/>
            </w:rPr>
          </w:pPr>
          <w:r w:rsidRPr="00B9015C">
            <w:fldChar w:fldCharType="begin"/>
          </w:r>
          <w:r w:rsidRPr="00B9015C">
            <w:instrText xml:space="preserve"> TOC \o "1-3" \h \z \u </w:instrText>
          </w:r>
          <w:r w:rsidRPr="00B9015C">
            <w:fldChar w:fldCharType="separate"/>
          </w:r>
          <w:hyperlink w:history="1" w:anchor="_Toc79151259">
            <w:r w:rsidRPr="00D87A76" w:rsidR="002B6B47">
              <w:rPr>
                <w:rStyle w:val="Hyperlink"/>
                <w:rFonts w:eastAsia="Cambria" w:cs="Arial"/>
                <w:noProof/>
                <w:lang w:eastAsia="en-GB" w:bidi="en-GB"/>
              </w:rPr>
              <w:t>1</w:t>
            </w:r>
            <w:r w:rsidR="002B6B47">
              <w:rPr>
                <w:rFonts w:asciiTheme="minorHAnsi" w:hAnsiTheme="minorHAnsi" w:eastAsiaTheme="minorEastAsia"/>
                <w:b w:val="0"/>
                <w:noProof/>
                <w:sz w:val="22"/>
                <w:lang w:eastAsia="en-GB"/>
              </w:rPr>
              <w:tab/>
            </w:r>
            <w:r w:rsidRPr="00D87A76" w:rsidR="002B6B47">
              <w:rPr>
                <w:rStyle w:val="Hyperlink"/>
                <w:rFonts w:eastAsia="Cambria" w:cs="Arial"/>
                <w:noProof/>
                <w:lang w:eastAsia="en-GB" w:bidi="en-GB"/>
              </w:rPr>
              <w:t>Purpose</w:t>
            </w:r>
            <w:r w:rsidR="002B6B47">
              <w:rPr>
                <w:noProof/>
                <w:webHidden/>
              </w:rPr>
              <w:tab/>
            </w:r>
            <w:r w:rsidR="002B6B47">
              <w:rPr>
                <w:noProof/>
                <w:webHidden/>
              </w:rPr>
              <w:fldChar w:fldCharType="begin"/>
            </w:r>
            <w:r w:rsidR="002B6B47">
              <w:rPr>
                <w:noProof/>
                <w:webHidden/>
              </w:rPr>
              <w:instrText xml:space="preserve"> PAGEREF _Toc79151259 \h </w:instrText>
            </w:r>
            <w:r w:rsidR="002B6B47">
              <w:rPr>
                <w:noProof/>
                <w:webHidden/>
              </w:rPr>
            </w:r>
            <w:r w:rsidR="002B6B47">
              <w:rPr>
                <w:noProof/>
                <w:webHidden/>
              </w:rPr>
              <w:fldChar w:fldCharType="separate"/>
            </w:r>
            <w:r w:rsidR="00FA2062">
              <w:rPr>
                <w:noProof/>
                <w:webHidden/>
              </w:rPr>
              <w:t>1</w:t>
            </w:r>
            <w:r w:rsidR="002B6B47">
              <w:rPr>
                <w:noProof/>
                <w:webHidden/>
              </w:rPr>
              <w:fldChar w:fldCharType="end"/>
            </w:r>
          </w:hyperlink>
        </w:p>
        <w:p w:rsidR="002B6B47" w:rsidRDefault="00000000" w14:paraId="23B84257" w14:textId="71F2F2EF">
          <w:pPr>
            <w:pStyle w:val="TOC2"/>
            <w:tabs>
              <w:tab w:val="left" w:pos="660"/>
              <w:tab w:val="right" w:leader="dot" w:pos="9016"/>
            </w:tabs>
            <w:rPr>
              <w:rFonts w:asciiTheme="minorHAnsi" w:hAnsiTheme="minorHAnsi" w:eastAsiaTheme="minorEastAsia"/>
              <w:b w:val="0"/>
              <w:noProof/>
              <w:sz w:val="22"/>
              <w:lang w:eastAsia="en-GB"/>
            </w:rPr>
          </w:pPr>
          <w:hyperlink w:history="1" w:anchor="_Toc79151260">
            <w:r w:rsidRPr="00D87A76" w:rsidR="002B6B47">
              <w:rPr>
                <w:rStyle w:val="Hyperlink"/>
                <w:rFonts w:eastAsia="Cambria" w:cs="Arial"/>
                <w:noProof/>
                <w:lang w:eastAsia="en-GB" w:bidi="en-GB"/>
              </w:rPr>
              <w:t>2</w:t>
            </w:r>
            <w:r w:rsidR="002B6B47">
              <w:rPr>
                <w:rFonts w:asciiTheme="minorHAnsi" w:hAnsiTheme="minorHAnsi" w:eastAsiaTheme="minorEastAsia"/>
                <w:b w:val="0"/>
                <w:noProof/>
                <w:sz w:val="22"/>
                <w:lang w:eastAsia="en-GB"/>
              </w:rPr>
              <w:tab/>
            </w:r>
            <w:r w:rsidRPr="00D87A76" w:rsidR="002B6B47">
              <w:rPr>
                <w:rStyle w:val="Hyperlink"/>
                <w:rFonts w:eastAsia="Cambria" w:cs="Arial"/>
                <w:noProof/>
                <w:lang w:eastAsia="en-GB" w:bidi="en-GB"/>
              </w:rPr>
              <w:t>Overview</w:t>
            </w:r>
            <w:r w:rsidR="002B6B47">
              <w:rPr>
                <w:noProof/>
                <w:webHidden/>
              </w:rPr>
              <w:tab/>
            </w:r>
            <w:r w:rsidR="002B6B47">
              <w:rPr>
                <w:noProof/>
                <w:webHidden/>
              </w:rPr>
              <w:fldChar w:fldCharType="begin"/>
            </w:r>
            <w:r w:rsidR="002B6B47">
              <w:rPr>
                <w:noProof/>
                <w:webHidden/>
              </w:rPr>
              <w:instrText xml:space="preserve"> PAGEREF _Toc79151260 \h </w:instrText>
            </w:r>
            <w:r w:rsidR="002B6B47">
              <w:rPr>
                <w:noProof/>
                <w:webHidden/>
              </w:rPr>
            </w:r>
            <w:r w:rsidR="002B6B47">
              <w:rPr>
                <w:noProof/>
                <w:webHidden/>
              </w:rPr>
              <w:fldChar w:fldCharType="separate"/>
            </w:r>
            <w:r w:rsidR="00FA2062">
              <w:rPr>
                <w:noProof/>
                <w:webHidden/>
              </w:rPr>
              <w:t>1</w:t>
            </w:r>
            <w:r w:rsidR="002B6B47">
              <w:rPr>
                <w:noProof/>
                <w:webHidden/>
              </w:rPr>
              <w:fldChar w:fldCharType="end"/>
            </w:r>
          </w:hyperlink>
        </w:p>
        <w:p w:rsidR="002B6B47" w:rsidRDefault="00000000" w14:paraId="6ED5BD5F" w14:textId="1C709658">
          <w:pPr>
            <w:pStyle w:val="TOC2"/>
            <w:tabs>
              <w:tab w:val="left" w:pos="660"/>
              <w:tab w:val="right" w:leader="dot" w:pos="9016"/>
            </w:tabs>
            <w:rPr>
              <w:rFonts w:asciiTheme="minorHAnsi" w:hAnsiTheme="minorHAnsi" w:eastAsiaTheme="minorEastAsia"/>
              <w:b w:val="0"/>
              <w:noProof/>
              <w:sz w:val="22"/>
              <w:lang w:eastAsia="en-GB"/>
            </w:rPr>
          </w:pPr>
          <w:hyperlink w:history="1" w:anchor="_Toc79151261">
            <w:r w:rsidRPr="00D87A76" w:rsidR="002B6B47">
              <w:rPr>
                <w:rStyle w:val="Hyperlink"/>
                <w:rFonts w:eastAsia="Cambria" w:cs="Arial"/>
                <w:noProof/>
                <w:lang w:eastAsia="en-GB" w:bidi="en-GB"/>
              </w:rPr>
              <w:t>3</w:t>
            </w:r>
            <w:r w:rsidR="002B6B47">
              <w:rPr>
                <w:rFonts w:asciiTheme="minorHAnsi" w:hAnsiTheme="minorHAnsi" w:eastAsiaTheme="minorEastAsia"/>
                <w:b w:val="0"/>
                <w:noProof/>
                <w:sz w:val="22"/>
                <w:lang w:eastAsia="en-GB"/>
              </w:rPr>
              <w:tab/>
            </w:r>
            <w:r w:rsidRPr="00D87A76" w:rsidR="002B6B47">
              <w:rPr>
                <w:rStyle w:val="Hyperlink"/>
                <w:rFonts w:eastAsia="Cambria" w:cs="Arial"/>
                <w:noProof/>
                <w:lang w:eastAsia="en-GB" w:bidi="en-GB"/>
              </w:rPr>
              <w:t>Scope</w:t>
            </w:r>
            <w:r w:rsidR="002B6B47">
              <w:rPr>
                <w:noProof/>
                <w:webHidden/>
              </w:rPr>
              <w:tab/>
            </w:r>
            <w:r w:rsidR="002B6B47">
              <w:rPr>
                <w:noProof/>
                <w:webHidden/>
              </w:rPr>
              <w:fldChar w:fldCharType="begin"/>
            </w:r>
            <w:r w:rsidR="002B6B47">
              <w:rPr>
                <w:noProof/>
                <w:webHidden/>
              </w:rPr>
              <w:instrText xml:space="preserve"> PAGEREF _Toc79151261 \h </w:instrText>
            </w:r>
            <w:r w:rsidR="002B6B47">
              <w:rPr>
                <w:noProof/>
                <w:webHidden/>
              </w:rPr>
            </w:r>
            <w:r w:rsidR="002B6B47">
              <w:rPr>
                <w:noProof/>
                <w:webHidden/>
              </w:rPr>
              <w:fldChar w:fldCharType="separate"/>
            </w:r>
            <w:r w:rsidR="00FA2062">
              <w:rPr>
                <w:noProof/>
                <w:webHidden/>
              </w:rPr>
              <w:t>2</w:t>
            </w:r>
            <w:r w:rsidR="002B6B47">
              <w:rPr>
                <w:noProof/>
                <w:webHidden/>
              </w:rPr>
              <w:fldChar w:fldCharType="end"/>
            </w:r>
          </w:hyperlink>
        </w:p>
        <w:p w:rsidR="002B6B47" w:rsidRDefault="00000000" w14:paraId="18CEE771" w14:textId="2C51D66F">
          <w:pPr>
            <w:pStyle w:val="TOC2"/>
            <w:tabs>
              <w:tab w:val="right" w:leader="dot" w:pos="9016"/>
            </w:tabs>
            <w:rPr>
              <w:rFonts w:asciiTheme="minorHAnsi" w:hAnsiTheme="minorHAnsi" w:eastAsiaTheme="minorEastAsia"/>
              <w:b w:val="0"/>
              <w:noProof/>
              <w:sz w:val="22"/>
              <w:lang w:eastAsia="en-GB"/>
            </w:rPr>
          </w:pPr>
          <w:hyperlink w:history="1" w:anchor="_Toc79151262">
            <w:r w:rsidRPr="00D87A76" w:rsidR="002B6B47">
              <w:rPr>
                <w:rStyle w:val="Hyperlink"/>
                <w:rFonts w:eastAsia="Cambria" w:cs="Arial"/>
                <w:noProof/>
                <w:lang w:eastAsia="en-GB" w:bidi="en-GB"/>
              </w:rPr>
              <w:t>Policy</w:t>
            </w:r>
            <w:r w:rsidR="002B6B47">
              <w:rPr>
                <w:noProof/>
                <w:webHidden/>
              </w:rPr>
              <w:tab/>
            </w:r>
            <w:r w:rsidR="002B6B47">
              <w:rPr>
                <w:noProof/>
                <w:webHidden/>
              </w:rPr>
              <w:fldChar w:fldCharType="begin"/>
            </w:r>
            <w:r w:rsidR="002B6B47">
              <w:rPr>
                <w:noProof/>
                <w:webHidden/>
              </w:rPr>
              <w:instrText xml:space="preserve"> PAGEREF _Toc79151262 \h </w:instrText>
            </w:r>
            <w:r w:rsidR="002B6B47">
              <w:rPr>
                <w:noProof/>
                <w:webHidden/>
              </w:rPr>
            </w:r>
            <w:r w:rsidR="002B6B47">
              <w:rPr>
                <w:noProof/>
                <w:webHidden/>
              </w:rPr>
              <w:fldChar w:fldCharType="separate"/>
            </w:r>
            <w:r w:rsidR="00FA2062">
              <w:rPr>
                <w:noProof/>
                <w:webHidden/>
              </w:rPr>
              <w:t>2</w:t>
            </w:r>
            <w:r w:rsidR="002B6B47">
              <w:rPr>
                <w:noProof/>
                <w:webHidden/>
              </w:rPr>
              <w:fldChar w:fldCharType="end"/>
            </w:r>
          </w:hyperlink>
        </w:p>
        <w:p w:rsidR="002B6B47" w:rsidRDefault="00000000" w14:paraId="54918C54" w14:textId="36D4CA67">
          <w:pPr>
            <w:pStyle w:val="TOC3"/>
            <w:rPr>
              <w:rFonts w:asciiTheme="minorHAnsi" w:hAnsiTheme="minorHAnsi" w:eastAsiaTheme="minorEastAsia"/>
              <w:b w:val="0"/>
              <w:noProof/>
              <w:sz w:val="22"/>
              <w:lang w:eastAsia="en-GB"/>
            </w:rPr>
          </w:pPr>
          <w:hyperlink w:history="1" w:anchor="_Toc79151263">
            <w:r w:rsidRPr="00D87A76" w:rsidR="002B6B47">
              <w:rPr>
                <w:rStyle w:val="Hyperlink"/>
                <w:rFonts w:cs="Arial" w:eastAsiaTheme="majorEastAsia"/>
                <w:noProof/>
              </w:rPr>
              <w:t>4</w:t>
            </w:r>
            <w:r w:rsidR="002B6B47">
              <w:rPr>
                <w:rFonts w:asciiTheme="minorHAnsi" w:hAnsiTheme="minorHAnsi" w:eastAsiaTheme="minorEastAsia"/>
                <w:b w:val="0"/>
                <w:noProof/>
                <w:sz w:val="22"/>
                <w:lang w:eastAsia="en-GB"/>
              </w:rPr>
              <w:tab/>
            </w:r>
            <w:r w:rsidRPr="00D87A76" w:rsidR="002B6B47">
              <w:rPr>
                <w:rStyle w:val="Hyperlink"/>
                <w:rFonts w:cs="Arial" w:eastAsiaTheme="majorEastAsia"/>
                <w:noProof/>
              </w:rPr>
              <w:t>Key Principles</w:t>
            </w:r>
            <w:r w:rsidR="002B6B47">
              <w:rPr>
                <w:noProof/>
                <w:webHidden/>
              </w:rPr>
              <w:tab/>
            </w:r>
            <w:r w:rsidR="002B6B47">
              <w:rPr>
                <w:noProof/>
                <w:webHidden/>
              </w:rPr>
              <w:fldChar w:fldCharType="begin"/>
            </w:r>
            <w:r w:rsidR="002B6B47">
              <w:rPr>
                <w:noProof/>
                <w:webHidden/>
              </w:rPr>
              <w:instrText xml:space="preserve"> PAGEREF _Toc79151263 \h </w:instrText>
            </w:r>
            <w:r w:rsidR="002B6B47">
              <w:rPr>
                <w:noProof/>
                <w:webHidden/>
              </w:rPr>
            </w:r>
            <w:r w:rsidR="002B6B47">
              <w:rPr>
                <w:noProof/>
                <w:webHidden/>
              </w:rPr>
              <w:fldChar w:fldCharType="separate"/>
            </w:r>
            <w:r w:rsidR="00FA2062">
              <w:rPr>
                <w:noProof/>
                <w:webHidden/>
              </w:rPr>
              <w:t>2</w:t>
            </w:r>
            <w:r w:rsidR="002B6B47">
              <w:rPr>
                <w:noProof/>
                <w:webHidden/>
              </w:rPr>
              <w:fldChar w:fldCharType="end"/>
            </w:r>
          </w:hyperlink>
        </w:p>
        <w:p w:rsidR="002B6B47" w:rsidRDefault="00000000" w14:paraId="6EC147C8" w14:textId="04B82585">
          <w:pPr>
            <w:pStyle w:val="TOC3"/>
            <w:rPr>
              <w:rFonts w:asciiTheme="minorHAnsi" w:hAnsiTheme="minorHAnsi" w:eastAsiaTheme="minorEastAsia"/>
              <w:b w:val="0"/>
              <w:noProof/>
              <w:sz w:val="22"/>
              <w:lang w:eastAsia="en-GB"/>
            </w:rPr>
          </w:pPr>
          <w:hyperlink w:history="1" w:anchor="_Toc79151264">
            <w:r w:rsidRPr="00D87A76" w:rsidR="002B6B47">
              <w:rPr>
                <w:rStyle w:val="Hyperlink"/>
                <w:rFonts w:cs="Arial" w:eastAsiaTheme="majorEastAsia"/>
                <w:noProof/>
              </w:rPr>
              <w:t>5</w:t>
            </w:r>
            <w:r w:rsidR="002B6B47">
              <w:rPr>
                <w:rFonts w:asciiTheme="minorHAnsi" w:hAnsiTheme="minorHAnsi" w:eastAsiaTheme="minorEastAsia"/>
                <w:b w:val="0"/>
                <w:noProof/>
                <w:sz w:val="22"/>
                <w:lang w:eastAsia="en-GB"/>
              </w:rPr>
              <w:tab/>
            </w:r>
            <w:r w:rsidRPr="00D87A76" w:rsidR="002B6B47">
              <w:rPr>
                <w:rStyle w:val="Hyperlink"/>
                <w:rFonts w:cs="Arial" w:eastAsiaTheme="majorEastAsia"/>
                <w:noProof/>
              </w:rPr>
              <w:t>Inclusive Practice by Design</w:t>
            </w:r>
            <w:r w:rsidR="002B6B47">
              <w:rPr>
                <w:noProof/>
                <w:webHidden/>
              </w:rPr>
              <w:tab/>
            </w:r>
            <w:r w:rsidR="002B6B47">
              <w:rPr>
                <w:noProof/>
                <w:webHidden/>
              </w:rPr>
              <w:fldChar w:fldCharType="begin"/>
            </w:r>
            <w:r w:rsidR="002B6B47">
              <w:rPr>
                <w:noProof/>
                <w:webHidden/>
              </w:rPr>
              <w:instrText xml:space="preserve"> PAGEREF _Toc79151264 \h </w:instrText>
            </w:r>
            <w:r w:rsidR="002B6B47">
              <w:rPr>
                <w:noProof/>
                <w:webHidden/>
              </w:rPr>
            </w:r>
            <w:r w:rsidR="002B6B47">
              <w:rPr>
                <w:noProof/>
                <w:webHidden/>
              </w:rPr>
              <w:fldChar w:fldCharType="separate"/>
            </w:r>
            <w:r w:rsidR="00FA2062">
              <w:rPr>
                <w:noProof/>
                <w:webHidden/>
              </w:rPr>
              <w:t>3</w:t>
            </w:r>
            <w:r w:rsidR="002B6B47">
              <w:rPr>
                <w:noProof/>
                <w:webHidden/>
              </w:rPr>
              <w:fldChar w:fldCharType="end"/>
            </w:r>
          </w:hyperlink>
        </w:p>
        <w:p w:rsidR="002B6B47" w:rsidRDefault="00000000" w14:paraId="07EBB8A0" w14:textId="133BCB9E">
          <w:pPr>
            <w:pStyle w:val="TOC3"/>
            <w:rPr>
              <w:rFonts w:asciiTheme="minorHAnsi" w:hAnsiTheme="minorHAnsi" w:eastAsiaTheme="minorEastAsia"/>
              <w:b w:val="0"/>
              <w:noProof/>
              <w:sz w:val="22"/>
              <w:lang w:eastAsia="en-GB"/>
            </w:rPr>
          </w:pPr>
          <w:hyperlink w:history="1" w:anchor="_Toc79151265">
            <w:r w:rsidRPr="00D87A76" w:rsidR="002B6B47">
              <w:rPr>
                <w:rStyle w:val="Hyperlink"/>
                <w:rFonts w:eastAsiaTheme="majorEastAsia" w:cstheme="majorBidi"/>
                <w:noProof/>
              </w:rPr>
              <w:t>6</w:t>
            </w:r>
            <w:r w:rsidR="002B6B47">
              <w:rPr>
                <w:rFonts w:asciiTheme="minorHAnsi" w:hAnsiTheme="minorHAnsi" w:eastAsiaTheme="minorEastAsia"/>
                <w:b w:val="0"/>
                <w:noProof/>
                <w:sz w:val="22"/>
                <w:lang w:eastAsia="en-GB"/>
              </w:rPr>
              <w:tab/>
            </w:r>
            <w:r w:rsidRPr="00D87A76" w:rsidR="002B6B47">
              <w:rPr>
                <w:rStyle w:val="Hyperlink"/>
                <w:rFonts w:eastAsiaTheme="majorEastAsia" w:cstheme="majorBidi"/>
                <w:noProof/>
              </w:rPr>
              <w:t>Reasonable Adjustments</w:t>
            </w:r>
            <w:r w:rsidR="002B6B47">
              <w:rPr>
                <w:noProof/>
                <w:webHidden/>
              </w:rPr>
              <w:tab/>
            </w:r>
            <w:r w:rsidR="002B6B47">
              <w:rPr>
                <w:noProof/>
                <w:webHidden/>
              </w:rPr>
              <w:fldChar w:fldCharType="begin"/>
            </w:r>
            <w:r w:rsidR="002B6B47">
              <w:rPr>
                <w:noProof/>
                <w:webHidden/>
              </w:rPr>
              <w:instrText xml:space="preserve"> PAGEREF _Toc79151265 \h </w:instrText>
            </w:r>
            <w:r w:rsidR="002B6B47">
              <w:rPr>
                <w:noProof/>
                <w:webHidden/>
              </w:rPr>
            </w:r>
            <w:r w:rsidR="002B6B47">
              <w:rPr>
                <w:noProof/>
                <w:webHidden/>
              </w:rPr>
              <w:fldChar w:fldCharType="separate"/>
            </w:r>
            <w:r w:rsidR="00FA2062">
              <w:rPr>
                <w:noProof/>
                <w:webHidden/>
              </w:rPr>
              <w:t>3</w:t>
            </w:r>
            <w:r w:rsidR="002B6B47">
              <w:rPr>
                <w:noProof/>
                <w:webHidden/>
              </w:rPr>
              <w:fldChar w:fldCharType="end"/>
            </w:r>
          </w:hyperlink>
        </w:p>
        <w:p w:rsidR="002B6B47" w:rsidRDefault="00000000" w14:paraId="79167410" w14:textId="10D88D2A">
          <w:pPr>
            <w:pStyle w:val="TOC3"/>
            <w:rPr>
              <w:rFonts w:asciiTheme="minorHAnsi" w:hAnsiTheme="minorHAnsi" w:eastAsiaTheme="minorEastAsia"/>
              <w:b w:val="0"/>
              <w:noProof/>
              <w:sz w:val="22"/>
              <w:lang w:eastAsia="en-GB"/>
            </w:rPr>
          </w:pPr>
          <w:hyperlink w:history="1" w:anchor="_Toc79151266">
            <w:r w:rsidRPr="00D87A76" w:rsidR="002B6B47">
              <w:rPr>
                <w:rStyle w:val="Hyperlink"/>
                <w:rFonts w:cs="Arial" w:eastAsiaTheme="majorEastAsia"/>
                <w:noProof/>
              </w:rPr>
              <w:t>7</w:t>
            </w:r>
            <w:r w:rsidR="002B6B47">
              <w:rPr>
                <w:rFonts w:asciiTheme="minorHAnsi" w:hAnsiTheme="minorHAnsi" w:eastAsiaTheme="minorEastAsia"/>
                <w:b w:val="0"/>
                <w:noProof/>
                <w:sz w:val="22"/>
                <w:lang w:eastAsia="en-GB"/>
              </w:rPr>
              <w:tab/>
            </w:r>
            <w:r w:rsidRPr="00D87A76" w:rsidR="002B6B47">
              <w:rPr>
                <w:rStyle w:val="Hyperlink"/>
                <w:rFonts w:cs="Arial" w:eastAsiaTheme="majorEastAsia"/>
                <w:noProof/>
              </w:rPr>
              <w:t>Alternative Assessment Arrangements</w:t>
            </w:r>
            <w:r w:rsidR="002B6B47">
              <w:rPr>
                <w:noProof/>
                <w:webHidden/>
              </w:rPr>
              <w:tab/>
            </w:r>
            <w:r w:rsidR="002B6B47">
              <w:rPr>
                <w:noProof/>
                <w:webHidden/>
              </w:rPr>
              <w:fldChar w:fldCharType="begin"/>
            </w:r>
            <w:r w:rsidR="002B6B47">
              <w:rPr>
                <w:noProof/>
                <w:webHidden/>
              </w:rPr>
              <w:instrText xml:space="preserve"> PAGEREF _Toc79151266 \h </w:instrText>
            </w:r>
            <w:r w:rsidR="002B6B47">
              <w:rPr>
                <w:noProof/>
                <w:webHidden/>
              </w:rPr>
            </w:r>
            <w:r w:rsidR="002B6B47">
              <w:rPr>
                <w:noProof/>
                <w:webHidden/>
              </w:rPr>
              <w:fldChar w:fldCharType="separate"/>
            </w:r>
            <w:r w:rsidR="00FA2062">
              <w:rPr>
                <w:noProof/>
                <w:webHidden/>
              </w:rPr>
              <w:t>4</w:t>
            </w:r>
            <w:r w:rsidR="002B6B47">
              <w:rPr>
                <w:noProof/>
                <w:webHidden/>
              </w:rPr>
              <w:fldChar w:fldCharType="end"/>
            </w:r>
          </w:hyperlink>
        </w:p>
        <w:p w:rsidR="002B6B47" w:rsidRDefault="00000000" w14:paraId="6D6F94E1" w14:textId="0F4D7FB2">
          <w:pPr>
            <w:pStyle w:val="TOC2"/>
            <w:tabs>
              <w:tab w:val="right" w:leader="dot" w:pos="9016"/>
            </w:tabs>
            <w:rPr>
              <w:rFonts w:asciiTheme="minorHAnsi" w:hAnsiTheme="minorHAnsi" w:eastAsiaTheme="minorEastAsia"/>
              <w:b w:val="0"/>
              <w:noProof/>
              <w:sz w:val="22"/>
              <w:lang w:eastAsia="en-GB"/>
            </w:rPr>
          </w:pPr>
          <w:hyperlink w:history="1" w:anchor="_Toc79151267">
            <w:r w:rsidRPr="00D87A76" w:rsidR="002B6B47">
              <w:rPr>
                <w:rStyle w:val="Hyperlink"/>
                <w:rFonts w:eastAsia="Cambria" w:cs="Arial"/>
                <w:noProof/>
                <w:lang w:eastAsia="en-GB" w:bidi="en-GB"/>
              </w:rPr>
              <w:t>Procedures</w:t>
            </w:r>
            <w:r w:rsidR="002B6B47">
              <w:rPr>
                <w:noProof/>
                <w:webHidden/>
              </w:rPr>
              <w:tab/>
            </w:r>
            <w:r w:rsidR="002B6B47">
              <w:rPr>
                <w:noProof/>
                <w:webHidden/>
              </w:rPr>
              <w:fldChar w:fldCharType="begin"/>
            </w:r>
            <w:r w:rsidR="002B6B47">
              <w:rPr>
                <w:noProof/>
                <w:webHidden/>
              </w:rPr>
              <w:instrText xml:space="preserve"> PAGEREF _Toc79151267 \h </w:instrText>
            </w:r>
            <w:r w:rsidR="002B6B47">
              <w:rPr>
                <w:noProof/>
                <w:webHidden/>
              </w:rPr>
            </w:r>
            <w:r w:rsidR="002B6B47">
              <w:rPr>
                <w:noProof/>
                <w:webHidden/>
              </w:rPr>
              <w:fldChar w:fldCharType="separate"/>
            </w:r>
            <w:r w:rsidR="00FA2062">
              <w:rPr>
                <w:noProof/>
                <w:webHidden/>
              </w:rPr>
              <w:t>5</w:t>
            </w:r>
            <w:r w:rsidR="002B6B47">
              <w:rPr>
                <w:noProof/>
                <w:webHidden/>
              </w:rPr>
              <w:fldChar w:fldCharType="end"/>
            </w:r>
          </w:hyperlink>
        </w:p>
        <w:p w:rsidR="002B6B47" w:rsidRDefault="00000000" w14:paraId="6CAF5A5F" w14:textId="4F88E7BA">
          <w:pPr>
            <w:pStyle w:val="TOC3"/>
            <w:rPr>
              <w:rFonts w:asciiTheme="minorHAnsi" w:hAnsiTheme="minorHAnsi" w:eastAsiaTheme="minorEastAsia"/>
              <w:b w:val="0"/>
              <w:noProof/>
              <w:sz w:val="22"/>
              <w:lang w:eastAsia="en-GB"/>
            </w:rPr>
          </w:pPr>
          <w:hyperlink w:history="1" w:anchor="_Toc79151268">
            <w:r w:rsidRPr="00D87A76" w:rsidR="002B6B47">
              <w:rPr>
                <w:rStyle w:val="Hyperlink"/>
                <w:rFonts w:eastAsia="Cambria" w:cs="Arial"/>
                <w:noProof/>
                <w:lang w:eastAsia="en-GB" w:bidi="en-GB"/>
              </w:rPr>
              <w:t>8</w:t>
            </w:r>
            <w:r w:rsidR="002B6B47">
              <w:rPr>
                <w:rFonts w:asciiTheme="minorHAnsi" w:hAnsiTheme="minorHAnsi" w:eastAsiaTheme="minorEastAsia"/>
                <w:b w:val="0"/>
                <w:noProof/>
                <w:sz w:val="22"/>
                <w:lang w:eastAsia="en-GB"/>
              </w:rPr>
              <w:tab/>
            </w:r>
            <w:r w:rsidRPr="00D87A76" w:rsidR="002B6B47">
              <w:rPr>
                <w:rStyle w:val="Hyperlink"/>
                <w:rFonts w:eastAsia="Cambria" w:cs="Arial"/>
                <w:noProof/>
                <w:lang w:eastAsia="en-GB" w:bidi="en-GB"/>
              </w:rPr>
              <w:t>Requesting and Approving Alternative Arrangements</w:t>
            </w:r>
            <w:r w:rsidR="002B6B47">
              <w:rPr>
                <w:noProof/>
                <w:webHidden/>
              </w:rPr>
              <w:tab/>
            </w:r>
            <w:r w:rsidR="002B6B47">
              <w:rPr>
                <w:noProof/>
                <w:webHidden/>
              </w:rPr>
              <w:fldChar w:fldCharType="begin"/>
            </w:r>
            <w:r w:rsidR="002B6B47">
              <w:rPr>
                <w:noProof/>
                <w:webHidden/>
              </w:rPr>
              <w:instrText xml:space="preserve"> PAGEREF _Toc79151268 \h </w:instrText>
            </w:r>
            <w:r w:rsidR="002B6B47">
              <w:rPr>
                <w:noProof/>
                <w:webHidden/>
              </w:rPr>
            </w:r>
            <w:r w:rsidR="002B6B47">
              <w:rPr>
                <w:noProof/>
                <w:webHidden/>
              </w:rPr>
              <w:fldChar w:fldCharType="separate"/>
            </w:r>
            <w:r w:rsidR="00FA2062">
              <w:rPr>
                <w:noProof/>
                <w:webHidden/>
              </w:rPr>
              <w:t>5</w:t>
            </w:r>
            <w:r w:rsidR="002B6B47">
              <w:rPr>
                <w:noProof/>
                <w:webHidden/>
              </w:rPr>
              <w:fldChar w:fldCharType="end"/>
            </w:r>
          </w:hyperlink>
        </w:p>
        <w:p w:rsidR="002B6B47" w:rsidRDefault="00000000" w14:paraId="1E2AD83D" w14:textId="64BC06EA">
          <w:pPr>
            <w:pStyle w:val="TOC3"/>
            <w:rPr>
              <w:rFonts w:asciiTheme="minorHAnsi" w:hAnsiTheme="minorHAnsi" w:eastAsiaTheme="minorEastAsia"/>
              <w:b w:val="0"/>
              <w:noProof/>
              <w:sz w:val="22"/>
              <w:lang w:eastAsia="en-GB"/>
            </w:rPr>
          </w:pPr>
          <w:hyperlink w:history="1" w:anchor="_Toc79151269">
            <w:r w:rsidRPr="00D87A76" w:rsidR="002B6B47">
              <w:rPr>
                <w:rStyle w:val="Hyperlink"/>
                <w:rFonts w:cs="Arial" w:eastAsiaTheme="majorEastAsia"/>
                <w:noProof/>
              </w:rPr>
              <w:t>9</w:t>
            </w:r>
            <w:r w:rsidR="002B6B47">
              <w:rPr>
                <w:rFonts w:asciiTheme="minorHAnsi" w:hAnsiTheme="minorHAnsi" w:eastAsiaTheme="minorEastAsia"/>
                <w:b w:val="0"/>
                <w:noProof/>
                <w:sz w:val="22"/>
                <w:lang w:eastAsia="en-GB"/>
              </w:rPr>
              <w:tab/>
            </w:r>
            <w:r w:rsidRPr="00D87A76" w:rsidR="002B6B47">
              <w:rPr>
                <w:rStyle w:val="Hyperlink"/>
                <w:rFonts w:cs="Arial" w:eastAsiaTheme="majorEastAsia"/>
                <w:noProof/>
              </w:rPr>
              <w:t>Examination and Test Arrangements</w:t>
            </w:r>
            <w:r w:rsidR="002B6B47">
              <w:rPr>
                <w:noProof/>
                <w:webHidden/>
              </w:rPr>
              <w:tab/>
            </w:r>
            <w:r w:rsidR="002B6B47">
              <w:rPr>
                <w:noProof/>
                <w:webHidden/>
              </w:rPr>
              <w:fldChar w:fldCharType="begin"/>
            </w:r>
            <w:r w:rsidR="002B6B47">
              <w:rPr>
                <w:noProof/>
                <w:webHidden/>
              </w:rPr>
              <w:instrText xml:space="preserve"> PAGEREF _Toc79151269 \h </w:instrText>
            </w:r>
            <w:r w:rsidR="002B6B47">
              <w:rPr>
                <w:noProof/>
                <w:webHidden/>
              </w:rPr>
            </w:r>
            <w:r w:rsidR="002B6B47">
              <w:rPr>
                <w:noProof/>
                <w:webHidden/>
              </w:rPr>
              <w:fldChar w:fldCharType="separate"/>
            </w:r>
            <w:r w:rsidR="00FA2062">
              <w:rPr>
                <w:noProof/>
                <w:webHidden/>
              </w:rPr>
              <w:t>5</w:t>
            </w:r>
            <w:r w:rsidR="002B6B47">
              <w:rPr>
                <w:noProof/>
                <w:webHidden/>
              </w:rPr>
              <w:fldChar w:fldCharType="end"/>
            </w:r>
          </w:hyperlink>
        </w:p>
        <w:p w:rsidR="002B6B47" w:rsidRDefault="00000000" w14:paraId="6CB65B06" w14:textId="7E14A3D3">
          <w:pPr>
            <w:pStyle w:val="TOC2"/>
            <w:tabs>
              <w:tab w:val="right" w:leader="dot" w:pos="9016"/>
            </w:tabs>
            <w:rPr>
              <w:rFonts w:asciiTheme="minorHAnsi" w:hAnsiTheme="minorHAnsi" w:eastAsiaTheme="minorEastAsia"/>
              <w:b w:val="0"/>
              <w:noProof/>
              <w:sz w:val="22"/>
              <w:lang w:eastAsia="en-GB"/>
            </w:rPr>
          </w:pPr>
          <w:hyperlink w:history="1" w:anchor="_Toc79151270">
            <w:r w:rsidRPr="00D87A76" w:rsidR="002B6B47">
              <w:rPr>
                <w:rStyle w:val="Hyperlink"/>
                <w:rFonts w:eastAsia="Cambria" w:cs="Arial"/>
                <w:noProof/>
                <w:lang w:eastAsia="en-GB" w:bidi="en-GB"/>
              </w:rPr>
              <w:t>Related Policies, Documents or Webpages</w:t>
            </w:r>
            <w:r w:rsidR="002B6B47">
              <w:rPr>
                <w:noProof/>
                <w:webHidden/>
              </w:rPr>
              <w:tab/>
            </w:r>
            <w:r w:rsidR="002B6B47">
              <w:rPr>
                <w:noProof/>
                <w:webHidden/>
              </w:rPr>
              <w:fldChar w:fldCharType="begin"/>
            </w:r>
            <w:r w:rsidR="002B6B47">
              <w:rPr>
                <w:noProof/>
                <w:webHidden/>
              </w:rPr>
              <w:instrText xml:space="preserve"> PAGEREF _Toc79151270 \h </w:instrText>
            </w:r>
            <w:r w:rsidR="002B6B47">
              <w:rPr>
                <w:noProof/>
                <w:webHidden/>
              </w:rPr>
            </w:r>
            <w:r w:rsidR="002B6B47">
              <w:rPr>
                <w:noProof/>
                <w:webHidden/>
              </w:rPr>
              <w:fldChar w:fldCharType="separate"/>
            </w:r>
            <w:r w:rsidR="00FA2062">
              <w:rPr>
                <w:noProof/>
                <w:webHidden/>
              </w:rPr>
              <w:t>6</w:t>
            </w:r>
            <w:r w:rsidR="002B6B47">
              <w:rPr>
                <w:noProof/>
                <w:webHidden/>
              </w:rPr>
              <w:fldChar w:fldCharType="end"/>
            </w:r>
          </w:hyperlink>
        </w:p>
        <w:p w:rsidRPr="00B9015C" w:rsidR="00B9015C" w:rsidP="00B9015C" w:rsidRDefault="00B9015C" w14:paraId="4ED45D7B" w14:textId="20A28059">
          <w:r w:rsidRPr="00B9015C">
            <w:rPr>
              <w:bCs/>
              <w:noProof/>
            </w:rPr>
            <w:fldChar w:fldCharType="end"/>
          </w:r>
        </w:p>
      </w:sdtContent>
    </w:sdt>
    <w:p w:rsidR="00B9015C" w:rsidP="00B9015C" w:rsidRDefault="00B9015C" w14:paraId="44131F62" w14:textId="37D8421F"/>
    <w:p w:rsidRPr="00B9015C" w:rsidR="00B9015C" w:rsidP="00B9015C" w:rsidRDefault="00B9015C" w14:paraId="2CA7DB6E" w14:textId="77777777">
      <w:pPr>
        <w:widowControl w:val="0"/>
        <w:autoSpaceDE w:val="0"/>
        <w:autoSpaceDN w:val="0"/>
        <w:ind w:left="940" w:hanging="940"/>
        <w:outlineLvl w:val="1"/>
        <w:rPr>
          <w:rFonts w:eastAsia="Cambria" w:cs="Arial"/>
          <w:sz w:val="26"/>
          <w:szCs w:val="26"/>
          <w:lang w:eastAsia="en-GB" w:bidi="en-GB"/>
        </w:rPr>
      </w:pPr>
      <w:bookmarkStart w:name="_Toc79151259" w:id="0"/>
      <w:r w:rsidRPr="00B9015C">
        <w:rPr>
          <w:rFonts w:eastAsia="Cambria" w:cs="Arial"/>
          <w:sz w:val="26"/>
          <w:szCs w:val="26"/>
          <w:lang w:eastAsia="en-GB" w:bidi="en-GB"/>
        </w:rPr>
        <w:t>1</w:t>
      </w:r>
      <w:r w:rsidRPr="00B9015C">
        <w:rPr>
          <w:rFonts w:eastAsia="Cambria" w:cs="Arial"/>
          <w:sz w:val="26"/>
          <w:szCs w:val="26"/>
          <w:lang w:eastAsia="en-GB" w:bidi="en-GB"/>
        </w:rPr>
        <w:tab/>
        <w:t>Purpose</w:t>
      </w:r>
      <w:bookmarkEnd w:id="0"/>
    </w:p>
    <w:p w:rsidRPr="00B9015C" w:rsidR="00B9015C" w:rsidP="00B9015C" w:rsidRDefault="00B9015C" w14:paraId="3E99C2DC" w14:textId="77777777">
      <w:pPr>
        <w:widowControl w:val="0"/>
        <w:autoSpaceDE w:val="0"/>
        <w:autoSpaceDN w:val="0"/>
        <w:ind w:left="940" w:hanging="940"/>
        <w:outlineLvl w:val="1"/>
        <w:rPr>
          <w:rFonts w:eastAsia="Cambria" w:cs="Arial"/>
          <w:sz w:val="26"/>
          <w:szCs w:val="26"/>
          <w:lang w:eastAsia="en-GB" w:bidi="en-GB"/>
        </w:rPr>
      </w:pPr>
    </w:p>
    <w:p w:rsidRPr="00B9015C" w:rsidR="00B9015C" w:rsidP="00B9015C" w:rsidRDefault="00B9015C" w14:paraId="2BD538BB" w14:textId="77777777">
      <w:pPr>
        <w:widowControl w:val="0"/>
        <w:autoSpaceDE w:val="0"/>
        <w:autoSpaceDN w:val="0"/>
        <w:rPr>
          <w:rFonts w:eastAsia="Calibri" w:cs="Arial"/>
          <w:b w:val="0"/>
          <w:color w:val="000000" w:themeColor="text1"/>
          <w:szCs w:val="24"/>
          <w:lang w:eastAsia="en-GB" w:bidi="en-GB"/>
        </w:rPr>
      </w:pPr>
      <w:r w:rsidRPr="00B9015C">
        <w:rPr>
          <w:rFonts w:eastAsia="Calibri" w:cs="Arial"/>
          <w:b w:val="0"/>
          <w:color w:val="000000" w:themeColor="text1"/>
          <w:szCs w:val="24"/>
          <w:lang w:eastAsia="en-GB" w:bidi="en-GB"/>
        </w:rPr>
        <w:t>1.1</w:t>
      </w:r>
      <w:r w:rsidRPr="00B9015C">
        <w:rPr>
          <w:rFonts w:eastAsia="Calibri" w:cs="Arial"/>
          <w:b w:val="0"/>
          <w:color w:val="000000" w:themeColor="text1"/>
          <w:szCs w:val="24"/>
          <w:lang w:eastAsia="en-GB" w:bidi="en-GB"/>
        </w:rPr>
        <w:tab/>
        <w:t>This policy sets out the University’s commitments to promoting inclusive assessment, including making provision for reasonable adjustments and alternative assessment arrangements for students with impairments or disabilities.  This includes students with specific learning disabilities, long term medical conditions and those with additional special educational needs.</w:t>
      </w:r>
    </w:p>
    <w:p w:rsidRPr="00B9015C" w:rsidR="00B9015C" w:rsidP="00B9015C" w:rsidRDefault="00B9015C" w14:paraId="2DEE2A5D" w14:textId="77777777">
      <w:pPr>
        <w:widowControl w:val="0"/>
        <w:autoSpaceDE w:val="0"/>
        <w:autoSpaceDN w:val="0"/>
        <w:rPr>
          <w:rFonts w:eastAsia="Calibri" w:cs="Arial"/>
          <w:color w:val="000000" w:themeColor="text1"/>
          <w:szCs w:val="24"/>
          <w:lang w:eastAsia="en-GB" w:bidi="en-GB"/>
        </w:rPr>
      </w:pPr>
    </w:p>
    <w:p w:rsidRPr="00B9015C" w:rsidR="00B9015C" w:rsidP="00B9015C" w:rsidRDefault="00B9015C" w14:paraId="24DBEFC1" w14:textId="77777777">
      <w:pPr>
        <w:widowControl w:val="0"/>
        <w:autoSpaceDE w:val="0"/>
        <w:autoSpaceDN w:val="0"/>
        <w:spacing w:before="1"/>
        <w:outlineLvl w:val="1"/>
        <w:rPr>
          <w:rFonts w:eastAsia="Cambria" w:cs="Arial"/>
          <w:color w:val="000000" w:themeColor="text1"/>
          <w:szCs w:val="24"/>
          <w:lang w:eastAsia="en-GB" w:bidi="en-GB"/>
        </w:rPr>
      </w:pPr>
      <w:bookmarkStart w:name="Overview" w:id="1"/>
      <w:bookmarkStart w:name="_Toc79151260" w:id="2"/>
      <w:bookmarkEnd w:id="1"/>
      <w:r w:rsidRPr="00B9015C">
        <w:rPr>
          <w:rFonts w:eastAsia="Cambria" w:cs="Arial"/>
          <w:color w:val="000000" w:themeColor="text1"/>
          <w:szCs w:val="24"/>
          <w:lang w:eastAsia="en-GB" w:bidi="en-GB"/>
        </w:rPr>
        <w:t>2</w:t>
      </w:r>
      <w:r w:rsidRPr="00B9015C">
        <w:rPr>
          <w:rFonts w:eastAsia="Cambria" w:cs="Arial"/>
          <w:color w:val="000000" w:themeColor="text1"/>
          <w:szCs w:val="24"/>
          <w:lang w:eastAsia="en-GB" w:bidi="en-GB"/>
        </w:rPr>
        <w:tab/>
        <w:t>Overview</w:t>
      </w:r>
      <w:bookmarkEnd w:id="2"/>
    </w:p>
    <w:p w:rsidRPr="00B9015C" w:rsidR="00B9015C" w:rsidP="00B9015C" w:rsidRDefault="00B9015C" w14:paraId="24897AE8" w14:textId="77777777">
      <w:pPr>
        <w:widowControl w:val="0"/>
        <w:autoSpaceDE w:val="0"/>
        <w:autoSpaceDN w:val="0"/>
        <w:spacing w:before="1"/>
        <w:outlineLvl w:val="1"/>
        <w:rPr>
          <w:rFonts w:eastAsia="Cambria" w:cs="Arial"/>
          <w:color w:val="000000" w:themeColor="text1"/>
          <w:szCs w:val="24"/>
          <w:lang w:eastAsia="en-GB" w:bidi="en-GB"/>
        </w:rPr>
      </w:pPr>
    </w:p>
    <w:p w:rsidRPr="00B9015C" w:rsidR="00B9015C" w:rsidP="00B9015C" w:rsidRDefault="00B9015C" w14:paraId="493CEE2C" w14:textId="77777777">
      <w:pPr>
        <w:rPr>
          <w:rFonts w:eastAsia="Calibri" w:cs="Arial"/>
          <w:b w:val="0"/>
          <w:color w:val="000000" w:themeColor="text1"/>
          <w:szCs w:val="24"/>
          <w:lang w:eastAsia="en-GB" w:bidi="en-GB"/>
        </w:rPr>
      </w:pPr>
      <w:bookmarkStart w:name="Definitions" w:id="3"/>
      <w:bookmarkEnd w:id="3"/>
      <w:r w:rsidRPr="00B9015C">
        <w:rPr>
          <w:rFonts w:eastAsia="Calibri" w:cs="Arial"/>
          <w:b w:val="0"/>
          <w:color w:val="000000" w:themeColor="text1"/>
          <w:szCs w:val="24"/>
          <w:lang w:eastAsia="en-GB" w:bidi="en-GB"/>
        </w:rPr>
        <w:t>2.1</w:t>
      </w:r>
      <w:r w:rsidRPr="00B9015C">
        <w:rPr>
          <w:rFonts w:eastAsia="Calibri" w:cs="Arial"/>
          <w:b w:val="0"/>
          <w:color w:val="000000" w:themeColor="text1"/>
          <w:szCs w:val="24"/>
          <w:lang w:eastAsia="en-GB" w:bidi="en-GB"/>
        </w:rPr>
        <w:tab/>
        <w:t>Through its mission and values the University of Worcester has a strong commitment to social and educational inclusion.  The University Learning and Teaching Strategy and the University Assessment Policy define inclusion as central tenets of professional practice, reflecting not only institutional responsibilities enshrined in the Equality Act 2010, but also the values of the UK Professional Standards Framework.</w:t>
      </w:r>
    </w:p>
    <w:p w:rsidRPr="00B9015C" w:rsidR="00B9015C" w:rsidP="00B9015C" w:rsidRDefault="00B9015C" w14:paraId="4189EA4C" w14:textId="77777777">
      <w:pPr>
        <w:rPr>
          <w:rFonts w:eastAsia="Calibri" w:cs="Arial"/>
          <w:b w:val="0"/>
          <w:color w:val="000000" w:themeColor="text1"/>
          <w:szCs w:val="24"/>
          <w:lang w:eastAsia="en-GB" w:bidi="en-GB"/>
        </w:rPr>
      </w:pPr>
    </w:p>
    <w:p w:rsidRPr="00B9015C" w:rsidR="00B9015C" w:rsidP="00B9015C" w:rsidRDefault="00B9015C" w14:paraId="62EE370E" w14:textId="77777777">
      <w:pPr>
        <w:rPr>
          <w:rFonts w:eastAsia="Calibri" w:cs="Arial"/>
          <w:b w:val="0"/>
          <w:color w:val="000000" w:themeColor="text1"/>
          <w:szCs w:val="24"/>
          <w:lang w:eastAsia="en-GB" w:bidi="en-GB"/>
        </w:rPr>
      </w:pPr>
      <w:r w:rsidRPr="00B9015C">
        <w:rPr>
          <w:rFonts w:eastAsia="Calibri" w:cs="Arial"/>
          <w:b w:val="0"/>
          <w:color w:val="000000" w:themeColor="text1"/>
          <w:szCs w:val="24"/>
          <w:lang w:eastAsia="en-GB" w:bidi="en-GB"/>
        </w:rPr>
        <w:t>2.2</w:t>
      </w:r>
      <w:r w:rsidRPr="00B9015C">
        <w:rPr>
          <w:rFonts w:eastAsia="Calibri" w:cs="Arial"/>
          <w:b w:val="0"/>
          <w:color w:val="000000" w:themeColor="text1"/>
          <w:szCs w:val="24"/>
          <w:lang w:eastAsia="en-GB" w:bidi="en-GB"/>
        </w:rPr>
        <w:tab/>
        <w:t>These commitments mean ensuring that students with disabilities and non-disabled students are offered learning opportunities that are equally accessible to them, by means of inclusive design wherever possible and reasonable individual adjustments wherever necessary. This applies equally to assessment.</w:t>
      </w:r>
    </w:p>
    <w:p w:rsidRPr="00B9015C" w:rsidR="00B9015C" w:rsidP="00B9015C" w:rsidRDefault="00B9015C" w14:paraId="67C2FEEE" w14:textId="77777777">
      <w:pPr>
        <w:rPr>
          <w:rFonts w:eastAsia="Calibri" w:cs="Arial"/>
          <w:b w:val="0"/>
          <w:color w:val="000000" w:themeColor="text1"/>
          <w:szCs w:val="24"/>
          <w:lang w:eastAsia="en-GB" w:bidi="en-GB"/>
        </w:rPr>
      </w:pPr>
    </w:p>
    <w:p w:rsidRPr="00B9015C" w:rsidR="00B9015C" w:rsidP="00B9015C" w:rsidRDefault="00B9015C" w14:paraId="3EBAF16A" w14:textId="77777777">
      <w:pPr>
        <w:rPr>
          <w:b w:val="0"/>
        </w:rPr>
      </w:pPr>
      <w:r w:rsidRPr="00B9015C">
        <w:rPr>
          <w:b w:val="0"/>
        </w:rPr>
        <w:lastRenderedPageBreak/>
        <w:t>2.3</w:t>
      </w:r>
      <w:r w:rsidRPr="00B9015C">
        <w:rPr>
          <w:b w:val="0"/>
        </w:rPr>
        <w:tab/>
        <w:t>This Policy sets out the principles for inclusive assessment, reasonable adjustments and alternative arrangements and the associated procedures for requesting such adjustments or arrangements, and their approval.  Approval involves the Disability and Dyslexia Service and course/module leaders.</w:t>
      </w:r>
    </w:p>
    <w:p w:rsidRPr="00B9015C" w:rsidR="00B9015C" w:rsidP="00B9015C" w:rsidRDefault="00B9015C" w14:paraId="24CC3A23" w14:textId="77777777">
      <w:pPr>
        <w:rPr>
          <w:rFonts w:eastAsia="Calibri" w:cs="Arial"/>
          <w:b w:val="0"/>
          <w:color w:val="000000" w:themeColor="text1"/>
          <w:szCs w:val="24"/>
          <w:lang w:eastAsia="en-GB" w:bidi="en-GB"/>
        </w:rPr>
      </w:pPr>
    </w:p>
    <w:p w:rsidRPr="00B9015C" w:rsidR="00B9015C" w:rsidP="00B9015C" w:rsidRDefault="00B9015C" w14:paraId="49DF2742" w14:textId="77777777">
      <w:pPr>
        <w:widowControl w:val="0"/>
        <w:autoSpaceDE w:val="0"/>
        <w:autoSpaceDN w:val="0"/>
        <w:outlineLvl w:val="1"/>
        <w:rPr>
          <w:rFonts w:eastAsia="Cambria" w:cs="Arial"/>
          <w:color w:val="000000" w:themeColor="text1"/>
          <w:szCs w:val="24"/>
          <w:lang w:eastAsia="en-GB" w:bidi="en-GB"/>
        </w:rPr>
      </w:pPr>
      <w:bookmarkStart w:name="Scope" w:id="4"/>
      <w:bookmarkStart w:name="_Toc79151261" w:id="5"/>
      <w:bookmarkEnd w:id="4"/>
      <w:r w:rsidRPr="00B9015C">
        <w:rPr>
          <w:rFonts w:eastAsia="Cambria" w:cs="Arial"/>
          <w:color w:val="000000" w:themeColor="text1"/>
          <w:szCs w:val="24"/>
          <w:lang w:eastAsia="en-GB" w:bidi="en-GB"/>
        </w:rPr>
        <w:t>3</w:t>
      </w:r>
      <w:r w:rsidRPr="00B9015C">
        <w:rPr>
          <w:rFonts w:eastAsia="Cambria" w:cs="Arial"/>
          <w:color w:val="000000" w:themeColor="text1"/>
          <w:szCs w:val="24"/>
          <w:lang w:eastAsia="en-GB" w:bidi="en-GB"/>
        </w:rPr>
        <w:tab/>
        <w:t>Scope</w:t>
      </w:r>
      <w:bookmarkEnd w:id="5"/>
      <w:r w:rsidRPr="00B9015C">
        <w:rPr>
          <w:rFonts w:eastAsia="Cambria" w:cs="Arial"/>
          <w:color w:val="000000" w:themeColor="text1"/>
          <w:szCs w:val="24"/>
          <w:lang w:eastAsia="en-GB" w:bidi="en-GB"/>
        </w:rPr>
        <w:br/>
      </w:r>
    </w:p>
    <w:p w:rsidRPr="00B9015C" w:rsidR="00B9015C" w:rsidP="00B9015C" w:rsidRDefault="00B9015C" w14:paraId="10F1E0F4" w14:textId="77777777">
      <w:pPr>
        <w:rPr>
          <w:rFonts w:cs="Arial"/>
          <w:b w:val="0"/>
          <w:szCs w:val="24"/>
        </w:rPr>
      </w:pPr>
      <w:bookmarkStart w:name="The_Policy/Policy_Statement" w:id="6"/>
      <w:bookmarkEnd w:id="6"/>
      <w:r w:rsidRPr="00B9015C">
        <w:rPr>
          <w:rFonts w:cs="Arial"/>
          <w:b w:val="0"/>
          <w:szCs w:val="24"/>
        </w:rPr>
        <w:t>3.1</w:t>
      </w:r>
      <w:r w:rsidRPr="00B9015C">
        <w:rPr>
          <w:rFonts w:cs="Arial"/>
          <w:b w:val="0"/>
          <w:szCs w:val="24"/>
        </w:rPr>
        <w:tab/>
        <w:t>This policy applies to all staff of the University, and particularly to staff who teach and/or provide learning support for students; it is a professional and legal responsibility for staff to ensure practice is inclusive, in line with this policy.</w:t>
      </w:r>
    </w:p>
    <w:p w:rsidRPr="00B9015C" w:rsidR="00B9015C" w:rsidP="00B9015C" w:rsidRDefault="00B9015C" w14:paraId="2A4F992E" w14:textId="77777777">
      <w:pPr>
        <w:rPr>
          <w:rFonts w:cs="Arial"/>
          <w:b w:val="0"/>
          <w:szCs w:val="24"/>
        </w:rPr>
      </w:pPr>
    </w:p>
    <w:p w:rsidRPr="00B9015C" w:rsidR="00B9015C" w:rsidP="00B9015C" w:rsidRDefault="00B9015C" w14:paraId="4AB43774" w14:textId="77777777">
      <w:pPr>
        <w:rPr>
          <w:rFonts w:cs="Arial"/>
          <w:b w:val="0"/>
          <w:szCs w:val="24"/>
        </w:rPr>
      </w:pPr>
      <w:r w:rsidRPr="00B9015C">
        <w:rPr>
          <w:rFonts w:cs="Arial"/>
          <w:b w:val="0"/>
          <w:szCs w:val="24"/>
        </w:rPr>
        <w:t>3.2</w:t>
      </w:r>
      <w:r w:rsidRPr="00B9015C">
        <w:rPr>
          <w:rFonts w:cs="Arial"/>
          <w:b w:val="0"/>
          <w:szCs w:val="24"/>
        </w:rPr>
        <w:tab/>
        <w:t xml:space="preserve">The policy has been drawn up with reference to good practice available within the sector, including that available from the </w:t>
      </w:r>
      <w:hyperlink w:history="1" r:id="rId12">
        <w:r w:rsidRPr="00B9015C">
          <w:rPr>
            <w:rFonts w:cs="Arial"/>
            <w:b w:val="0"/>
            <w:color w:val="0563C1"/>
            <w:szCs w:val="24"/>
            <w:u w:val="single"/>
          </w:rPr>
          <w:t>Equality and Human Rights Commission</w:t>
        </w:r>
      </w:hyperlink>
      <w:r w:rsidRPr="00B9015C">
        <w:rPr>
          <w:rFonts w:cs="Arial"/>
          <w:b w:val="0"/>
          <w:szCs w:val="24"/>
        </w:rPr>
        <w:t xml:space="preserve"> and </w:t>
      </w:r>
      <w:hyperlink w:history="1" r:id="rId13">
        <w:r w:rsidRPr="00B9015C">
          <w:rPr>
            <w:rFonts w:cs="Arial"/>
            <w:b w:val="0"/>
            <w:color w:val="0563C1"/>
            <w:szCs w:val="24"/>
            <w:u w:val="single"/>
          </w:rPr>
          <w:t>AdvanceHE.</w:t>
        </w:r>
      </w:hyperlink>
    </w:p>
    <w:p w:rsidRPr="00B9015C" w:rsidR="00B9015C" w:rsidP="00B9015C" w:rsidRDefault="00B9015C" w14:paraId="7EC02A63" w14:textId="77777777">
      <w:pPr>
        <w:rPr>
          <w:rFonts w:cs="Arial"/>
          <w:b w:val="0"/>
          <w:szCs w:val="24"/>
        </w:rPr>
      </w:pPr>
    </w:p>
    <w:p w:rsidRPr="00B9015C" w:rsidR="00B9015C" w:rsidP="00B9015C" w:rsidRDefault="00B9015C" w14:paraId="2D272295" w14:textId="77777777">
      <w:pPr>
        <w:rPr>
          <w:rFonts w:cs="Arial"/>
          <w:b w:val="0"/>
          <w:szCs w:val="24"/>
        </w:rPr>
      </w:pPr>
      <w:r w:rsidRPr="00B9015C">
        <w:rPr>
          <w:rFonts w:cs="Arial"/>
          <w:b w:val="0"/>
          <w:szCs w:val="24"/>
        </w:rPr>
        <w:t>3.3</w:t>
      </w:r>
      <w:r w:rsidRPr="00B9015C">
        <w:rPr>
          <w:rFonts w:cs="Arial"/>
          <w:b w:val="0"/>
          <w:szCs w:val="24"/>
        </w:rPr>
        <w:tab/>
        <w:t xml:space="preserve">The policy and procedures are of particular relevance to students with disabilities, special educational needs or </w:t>
      </w:r>
      <w:proofErr w:type="gramStart"/>
      <w:r w:rsidRPr="00B9015C">
        <w:rPr>
          <w:rFonts w:cs="Arial"/>
          <w:b w:val="0"/>
          <w:szCs w:val="24"/>
        </w:rPr>
        <w:t>long term</w:t>
      </w:r>
      <w:proofErr w:type="gramEnd"/>
      <w:r w:rsidRPr="00B9015C">
        <w:rPr>
          <w:rFonts w:cs="Arial"/>
          <w:b w:val="0"/>
          <w:szCs w:val="24"/>
        </w:rPr>
        <w:t xml:space="preserve"> medical conditions.</w:t>
      </w:r>
    </w:p>
    <w:p w:rsidRPr="00B9015C" w:rsidR="00B9015C" w:rsidP="00B9015C" w:rsidRDefault="00B9015C" w14:paraId="51668977" w14:textId="77777777">
      <w:pPr>
        <w:rPr>
          <w:rFonts w:cs="Arial"/>
          <w:b w:val="0"/>
          <w:szCs w:val="24"/>
        </w:rPr>
      </w:pPr>
    </w:p>
    <w:p w:rsidRPr="00B9015C" w:rsidR="00B9015C" w:rsidP="00B9015C" w:rsidRDefault="00B9015C" w14:paraId="65B4842D" w14:textId="77777777">
      <w:pPr>
        <w:widowControl w:val="0"/>
        <w:autoSpaceDE w:val="0"/>
        <w:autoSpaceDN w:val="0"/>
        <w:spacing w:before="203"/>
        <w:outlineLvl w:val="1"/>
        <w:rPr>
          <w:rFonts w:eastAsia="Cambria" w:cs="Arial"/>
          <w:color w:val="000000" w:themeColor="text1"/>
          <w:szCs w:val="24"/>
          <w:lang w:eastAsia="en-GB" w:bidi="en-GB"/>
        </w:rPr>
      </w:pPr>
      <w:bookmarkStart w:name="_Toc79151262" w:id="7"/>
      <w:r w:rsidRPr="00B9015C">
        <w:rPr>
          <w:rFonts w:eastAsia="Cambria" w:cs="Arial"/>
          <w:color w:val="000000" w:themeColor="text1"/>
          <w:szCs w:val="24"/>
          <w:lang w:eastAsia="en-GB" w:bidi="en-GB"/>
        </w:rPr>
        <w:t>Policy</w:t>
      </w:r>
      <w:bookmarkEnd w:id="7"/>
    </w:p>
    <w:p w:rsidRPr="00B9015C" w:rsidR="00B9015C" w:rsidP="00B9015C" w:rsidRDefault="00B9015C" w14:paraId="593FAC68" w14:textId="77777777">
      <w:pPr>
        <w:widowControl w:val="0"/>
        <w:autoSpaceDE w:val="0"/>
        <w:autoSpaceDN w:val="0"/>
        <w:outlineLvl w:val="1"/>
        <w:rPr>
          <w:rFonts w:eastAsia="Cambria" w:cs="Arial"/>
          <w:b w:val="0"/>
          <w:color w:val="000000" w:themeColor="text1"/>
          <w:szCs w:val="24"/>
          <w:lang w:eastAsia="en-GB" w:bidi="en-GB"/>
        </w:rPr>
      </w:pPr>
      <w:bookmarkStart w:name="Related_Policies_or_Documents" w:id="8"/>
      <w:bookmarkEnd w:id="8"/>
    </w:p>
    <w:p w:rsidRPr="00B9015C" w:rsidR="00B9015C" w:rsidP="00B9015C" w:rsidRDefault="00B9015C" w14:paraId="7AC5E77F" w14:textId="77777777">
      <w:pPr>
        <w:keepNext/>
        <w:keepLines/>
        <w:numPr>
          <w:ilvl w:val="0"/>
          <w:numId w:val="13"/>
        </w:numPr>
        <w:spacing w:before="40"/>
        <w:ind w:left="709" w:hanging="709"/>
        <w:outlineLvl w:val="2"/>
        <w:rPr>
          <w:rFonts w:cs="Arial" w:eastAsiaTheme="majorEastAsia"/>
          <w:color w:val="000000" w:themeColor="text1"/>
          <w:szCs w:val="24"/>
        </w:rPr>
      </w:pPr>
      <w:bookmarkStart w:name="_Toc79151263" w:id="9"/>
      <w:r w:rsidRPr="00B9015C">
        <w:rPr>
          <w:rFonts w:cs="Arial" w:eastAsiaTheme="majorEastAsia"/>
          <w:color w:val="000000" w:themeColor="text1"/>
          <w:szCs w:val="24"/>
        </w:rPr>
        <w:t>Key Principles</w:t>
      </w:r>
      <w:bookmarkEnd w:id="9"/>
    </w:p>
    <w:p w:rsidRPr="00B9015C" w:rsidR="00B9015C" w:rsidP="00B9015C" w:rsidRDefault="00B9015C" w14:paraId="154EEB8D" w14:textId="77777777"/>
    <w:p w:rsidRPr="00B9015C" w:rsidR="00B9015C" w:rsidP="00B9015C" w:rsidRDefault="00B9015C" w14:paraId="0FAF2FCE" w14:textId="77777777">
      <w:pPr>
        <w:rPr>
          <w:rFonts w:cs="Arial"/>
          <w:szCs w:val="24"/>
        </w:rPr>
      </w:pPr>
      <w:r w:rsidRPr="00B9015C">
        <w:rPr>
          <w:rFonts w:cs="Arial"/>
          <w:b w:val="0"/>
          <w:szCs w:val="24"/>
        </w:rPr>
        <w:t>4.1</w:t>
      </w:r>
      <w:r w:rsidRPr="00B9015C">
        <w:rPr>
          <w:rFonts w:cs="Arial"/>
          <w:b w:val="0"/>
          <w:szCs w:val="24"/>
        </w:rPr>
        <w:tab/>
        <w:t>In keeping with legislation and associated guidance with regards to assessment, higher education providers are required to take reasonable steps to:</w:t>
      </w:r>
      <w:r w:rsidRPr="00B9015C">
        <w:rPr>
          <w:rFonts w:cs="Arial"/>
          <w:b w:val="0"/>
          <w:szCs w:val="24"/>
        </w:rPr>
        <w:br/>
      </w:r>
    </w:p>
    <w:p w:rsidRPr="00B9015C" w:rsidR="00B9015C" w:rsidP="00B9015C" w:rsidRDefault="00B9015C" w14:paraId="4EC9B26C" w14:textId="77777777">
      <w:pPr>
        <w:numPr>
          <w:ilvl w:val="0"/>
          <w:numId w:val="4"/>
        </w:numPr>
        <w:ind w:left="1134" w:hanging="425"/>
        <w:rPr>
          <w:rFonts w:eastAsia="Calibri" w:cs="Arial"/>
          <w:b w:val="0"/>
          <w:szCs w:val="24"/>
          <w:lang w:eastAsia="en-GB"/>
        </w:rPr>
      </w:pPr>
      <w:r w:rsidRPr="00B9015C">
        <w:rPr>
          <w:rFonts w:eastAsia="Calibri" w:cs="Arial"/>
          <w:b w:val="0"/>
          <w:szCs w:val="24"/>
          <w:lang w:eastAsia="en-GB"/>
        </w:rPr>
        <w:t>mitigate against substantial disadvantage where a provision, criterion or practice may create barriers for the involvement and educational attainment of disabled people</w:t>
      </w:r>
    </w:p>
    <w:p w:rsidRPr="00B9015C" w:rsidR="00B9015C" w:rsidP="00B9015C" w:rsidRDefault="00B9015C" w14:paraId="2ACEC91B" w14:textId="77777777">
      <w:pPr>
        <w:numPr>
          <w:ilvl w:val="0"/>
          <w:numId w:val="4"/>
        </w:numPr>
        <w:ind w:left="1134" w:hanging="425"/>
        <w:rPr>
          <w:rFonts w:eastAsia="Calibri" w:cs="Arial"/>
          <w:b w:val="0"/>
          <w:szCs w:val="24"/>
          <w:lang w:eastAsia="en-GB"/>
        </w:rPr>
      </w:pPr>
      <w:r w:rsidRPr="00B9015C">
        <w:rPr>
          <w:rFonts w:eastAsia="Calibri" w:cs="Arial"/>
          <w:b w:val="0"/>
          <w:szCs w:val="24"/>
          <w:lang w:eastAsia="en-GB"/>
        </w:rPr>
        <w:t>consider adjustments to assessments or the provision of alternative arrangements for assessments, being mindful of the specific learning requirements of students with disabilities.</w:t>
      </w:r>
    </w:p>
    <w:p w:rsidRPr="00B9015C" w:rsidR="00B9015C" w:rsidP="00B9015C" w:rsidRDefault="00B9015C" w14:paraId="5A05CB8D" w14:textId="77777777">
      <w:pPr>
        <w:ind w:left="675"/>
        <w:rPr>
          <w:rFonts w:eastAsia="Calibri" w:cs="Arial"/>
          <w:b w:val="0"/>
          <w:szCs w:val="24"/>
          <w:lang w:eastAsia="en-GB"/>
        </w:rPr>
      </w:pPr>
    </w:p>
    <w:p w:rsidRPr="00B9015C" w:rsidR="00B9015C" w:rsidP="00B9015C" w:rsidRDefault="00B9015C" w14:paraId="2B5EC9A6" w14:textId="77777777">
      <w:pPr>
        <w:tabs>
          <w:tab w:val="left" w:pos="0"/>
        </w:tabs>
        <w:rPr>
          <w:rFonts w:cs="Arial"/>
          <w:b w:val="0"/>
          <w:szCs w:val="24"/>
        </w:rPr>
      </w:pPr>
      <w:r w:rsidRPr="00B9015C">
        <w:rPr>
          <w:rFonts w:cs="Arial"/>
          <w:b w:val="0"/>
          <w:szCs w:val="24"/>
        </w:rPr>
        <w:t>4.2</w:t>
      </w:r>
      <w:r w:rsidRPr="00B9015C">
        <w:rPr>
          <w:rFonts w:cs="Arial"/>
          <w:b w:val="0"/>
          <w:szCs w:val="24"/>
        </w:rPr>
        <w:tab/>
        <w:t xml:space="preserve">All students </w:t>
      </w:r>
      <w:proofErr w:type="gramStart"/>
      <w:r w:rsidRPr="00B9015C">
        <w:rPr>
          <w:rFonts w:cs="Arial"/>
          <w:b w:val="0"/>
          <w:szCs w:val="24"/>
        </w:rPr>
        <w:t>of</w:t>
      </w:r>
      <w:proofErr w:type="gramEnd"/>
      <w:r w:rsidRPr="00B9015C">
        <w:rPr>
          <w:rFonts w:cs="Arial"/>
          <w:b w:val="0"/>
          <w:szCs w:val="24"/>
        </w:rPr>
        <w:t xml:space="preserve"> the University can expect a learning and assessment experience that is consistent with the Equality Act 2010 and underpinned by the values and practices of inclusion. </w:t>
      </w:r>
    </w:p>
    <w:p w:rsidRPr="00B9015C" w:rsidR="00B9015C" w:rsidP="00B9015C" w:rsidRDefault="00B9015C" w14:paraId="6E6AAE95" w14:textId="77777777">
      <w:pPr>
        <w:tabs>
          <w:tab w:val="left" w:pos="0"/>
        </w:tabs>
        <w:rPr>
          <w:rFonts w:cs="Arial"/>
          <w:b w:val="0"/>
          <w:szCs w:val="24"/>
        </w:rPr>
      </w:pPr>
    </w:p>
    <w:p w:rsidRPr="00B9015C" w:rsidR="00B9015C" w:rsidP="00B9015C" w:rsidRDefault="00B9015C" w14:paraId="0DB87CB3" w14:textId="77777777">
      <w:pPr>
        <w:tabs>
          <w:tab w:val="left" w:pos="0"/>
        </w:tabs>
        <w:rPr>
          <w:rFonts w:cs="Arial"/>
          <w:b w:val="0"/>
          <w:szCs w:val="24"/>
        </w:rPr>
      </w:pPr>
      <w:r w:rsidRPr="00B9015C">
        <w:rPr>
          <w:rFonts w:cs="Arial"/>
          <w:b w:val="0"/>
          <w:szCs w:val="24"/>
        </w:rPr>
        <w:t>4.3</w:t>
      </w:r>
      <w:r w:rsidRPr="00B9015C">
        <w:rPr>
          <w:rFonts w:cs="Arial"/>
          <w:b w:val="0"/>
          <w:szCs w:val="24"/>
        </w:rPr>
        <w:tab/>
        <w:t xml:space="preserve">It is the University's responsibility to give students opportunities, at various stages of their course, to disclose disability, dyslexia or a </w:t>
      </w:r>
      <w:proofErr w:type="gramStart"/>
      <w:r w:rsidRPr="00B9015C">
        <w:rPr>
          <w:rFonts w:cs="Arial"/>
          <w:b w:val="0"/>
          <w:szCs w:val="24"/>
        </w:rPr>
        <w:t>long term</w:t>
      </w:r>
      <w:proofErr w:type="gramEnd"/>
      <w:r w:rsidRPr="00B9015C">
        <w:rPr>
          <w:rFonts w:cs="Arial"/>
          <w:b w:val="0"/>
          <w:szCs w:val="24"/>
        </w:rPr>
        <w:t xml:space="preserve"> medical condition and to ensure appropriate confidentiality. </w:t>
      </w:r>
      <w:r w:rsidRPr="00B9015C">
        <w:rPr>
          <w:rFonts w:cs="Arial"/>
          <w:b w:val="0"/>
          <w:szCs w:val="24"/>
        </w:rPr>
        <w:br/>
      </w:r>
    </w:p>
    <w:p w:rsidRPr="00B9015C" w:rsidR="00B9015C" w:rsidP="00B9015C" w:rsidRDefault="00B9015C" w14:paraId="79948829" w14:textId="77777777">
      <w:pPr>
        <w:tabs>
          <w:tab w:val="left" w:pos="0"/>
        </w:tabs>
        <w:rPr>
          <w:rFonts w:cs="Arial"/>
          <w:b w:val="0"/>
          <w:szCs w:val="24"/>
        </w:rPr>
      </w:pPr>
      <w:r w:rsidRPr="00B9015C">
        <w:rPr>
          <w:rFonts w:cs="Arial"/>
          <w:b w:val="0"/>
          <w:szCs w:val="24"/>
        </w:rPr>
        <w:t>4.4</w:t>
      </w:r>
      <w:r w:rsidRPr="00B9015C">
        <w:rPr>
          <w:rFonts w:cs="Arial"/>
          <w:b w:val="0"/>
          <w:szCs w:val="24"/>
        </w:rPr>
        <w:tab/>
        <w:t xml:space="preserve">It is the student's responsibility to ensure that the University is aware of his/her disability and to apply for any variation in assessment conditions within deadlines established for this purpose. Any request must be supported by acceptable medical or other evidence of disability or </w:t>
      </w:r>
      <w:proofErr w:type="gramStart"/>
      <w:r w:rsidRPr="00B9015C">
        <w:rPr>
          <w:rFonts w:cs="Arial"/>
          <w:b w:val="0"/>
          <w:szCs w:val="24"/>
        </w:rPr>
        <w:t>long term</w:t>
      </w:r>
      <w:proofErr w:type="gramEnd"/>
      <w:r w:rsidRPr="00B9015C">
        <w:rPr>
          <w:rFonts w:cs="Arial"/>
          <w:b w:val="0"/>
          <w:szCs w:val="24"/>
        </w:rPr>
        <w:t xml:space="preserve"> medical condition.  [Note: Some courses such as Teaching and Nursing require disclosure as a part of the Occupational Health clearance.] </w:t>
      </w:r>
      <w:r w:rsidRPr="00B9015C">
        <w:rPr>
          <w:rFonts w:cs="Arial"/>
          <w:b w:val="0"/>
          <w:szCs w:val="24"/>
        </w:rPr>
        <w:br/>
      </w:r>
    </w:p>
    <w:p w:rsidRPr="00B9015C" w:rsidR="00B9015C" w:rsidP="00B9015C" w:rsidRDefault="00B9015C" w14:paraId="52388262" w14:textId="77777777">
      <w:pPr>
        <w:tabs>
          <w:tab w:val="left" w:pos="0"/>
        </w:tabs>
        <w:rPr>
          <w:rFonts w:cs="Arial"/>
          <w:b w:val="0"/>
          <w:szCs w:val="24"/>
        </w:rPr>
      </w:pPr>
      <w:r w:rsidRPr="00B9015C">
        <w:rPr>
          <w:rFonts w:cs="Arial"/>
          <w:b w:val="0"/>
          <w:szCs w:val="24"/>
        </w:rPr>
        <w:t>4.5</w:t>
      </w:r>
      <w:r w:rsidRPr="00B9015C">
        <w:rPr>
          <w:rFonts w:cs="Arial"/>
          <w:b w:val="0"/>
          <w:szCs w:val="24"/>
        </w:rPr>
        <w:tab/>
        <w:t xml:space="preserve">All information is confidential and is only shared with student consent, to those directly involved in making reasonable adjustments on behalf of the student. </w:t>
      </w:r>
      <w:r w:rsidRPr="00B9015C">
        <w:rPr>
          <w:rFonts w:cs="Arial"/>
          <w:b w:val="0"/>
          <w:szCs w:val="24"/>
        </w:rPr>
        <w:br/>
      </w:r>
    </w:p>
    <w:p w:rsidRPr="00B9015C" w:rsidR="00B9015C" w:rsidP="00B9015C" w:rsidRDefault="00B9015C" w14:paraId="5CEEBC3F" w14:textId="77777777">
      <w:pPr>
        <w:tabs>
          <w:tab w:val="left" w:pos="0"/>
        </w:tabs>
        <w:rPr>
          <w:rFonts w:cs="Arial"/>
          <w:b w:val="0"/>
          <w:szCs w:val="24"/>
        </w:rPr>
      </w:pPr>
      <w:r w:rsidRPr="00B9015C">
        <w:rPr>
          <w:rFonts w:cs="Arial"/>
          <w:b w:val="0"/>
          <w:szCs w:val="24"/>
        </w:rPr>
        <w:lastRenderedPageBreak/>
        <w:t>4.6</w:t>
      </w:r>
      <w:r w:rsidRPr="00B9015C">
        <w:rPr>
          <w:rFonts w:cs="Arial"/>
          <w:b w:val="0"/>
          <w:szCs w:val="24"/>
        </w:rPr>
        <w:tab/>
        <w:t>The University will endeavour to ensure that access and reasonable adjustments are applied consistently across the institution.</w:t>
      </w:r>
      <w:r w:rsidRPr="00B9015C">
        <w:rPr>
          <w:rFonts w:cs="Arial"/>
          <w:b w:val="0"/>
          <w:szCs w:val="24"/>
        </w:rPr>
        <w:br/>
      </w:r>
    </w:p>
    <w:p w:rsidRPr="00B9015C" w:rsidR="00B9015C" w:rsidP="00B9015C" w:rsidRDefault="00B9015C" w14:paraId="4DB8A423" w14:textId="77777777">
      <w:pPr>
        <w:keepNext/>
        <w:keepLines/>
        <w:spacing w:before="40"/>
        <w:outlineLvl w:val="2"/>
        <w:rPr>
          <w:rFonts w:cs="Arial" w:eastAsiaTheme="majorEastAsia"/>
          <w:color w:val="000000" w:themeColor="text1"/>
          <w:szCs w:val="24"/>
        </w:rPr>
      </w:pPr>
      <w:bookmarkStart w:name="_Toc79151264" w:id="10"/>
      <w:r w:rsidRPr="00B9015C">
        <w:rPr>
          <w:rFonts w:cs="Arial" w:eastAsiaTheme="majorEastAsia"/>
          <w:color w:val="000000" w:themeColor="text1"/>
          <w:szCs w:val="24"/>
        </w:rPr>
        <w:t>5</w:t>
      </w:r>
      <w:r w:rsidRPr="00B9015C">
        <w:rPr>
          <w:rFonts w:cs="Arial" w:eastAsiaTheme="majorEastAsia"/>
          <w:color w:val="000000" w:themeColor="text1"/>
          <w:szCs w:val="24"/>
        </w:rPr>
        <w:tab/>
        <w:t>Inclusive Practice by Design</w:t>
      </w:r>
      <w:bookmarkEnd w:id="10"/>
      <w:r w:rsidRPr="00B9015C">
        <w:rPr>
          <w:rFonts w:cs="Arial" w:eastAsiaTheme="majorEastAsia"/>
          <w:color w:val="000000" w:themeColor="text1"/>
          <w:szCs w:val="24"/>
        </w:rPr>
        <w:t xml:space="preserve"> </w:t>
      </w:r>
    </w:p>
    <w:p w:rsidRPr="00B9015C" w:rsidR="00B9015C" w:rsidP="00B9015C" w:rsidRDefault="00B9015C" w14:paraId="3F7DB818" w14:textId="77777777"/>
    <w:p w:rsidRPr="00B9015C" w:rsidR="00B9015C" w:rsidP="00B9015C" w:rsidRDefault="00B9015C" w14:paraId="550C4157" w14:textId="77777777">
      <w:pPr>
        <w:tabs>
          <w:tab w:val="left" w:pos="0"/>
        </w:tabs>
        <w:rPr>
          <w:rFonts w:cs="Arial"/>
          <w:b w:val="0"/>
          <w:szCs w:val="24"/>
        </w:rPr>
      </w:pPr>
      <w:r w:rsidRPr="00B9015C">
        <w:rPr>
          <w:rFonts w:cs="Arial"/>
          <w:b w:val="0"/>
          <w:szCs w:val="24"/>
        </w:rPr>
        <w:t>5.1</w:t>
      </w:r>
      <w:r w:rsidRPr="00B9015C">
        <w:rPr>
          <w:rFonts w:cs="Arial"/>
          <w:b w:val="0"/>
          <w:szCs w:val="24"/>
        </w:rPr>
        <w:tab/>
        <w:t xml:space="preserve">Inclusive practice involves: </w:t>
      </w:r>
      <w:r w:rsidRPr="00B9015C">
        <w:rPr>
          <w:rFonts w:cs="Arial"/>
          <w:b w:val="0"/>
          <w:szCs w:val="24"/>
        </w:rPr>
        <w:br/>
      </w:r>
    </w:p>
    <w:p w:rsidRPr="00B9015C" w:rsidR="00B9015C" w:rsidP="00B9015C" w:rsidRDefault="00B9015C" w14:paraId="52339187" w14:textId="77777777">
      <w:pPr>
        <w:numPr>
          <w:ilvl w:val="0"/>
          <w:numId w:val="5"/>
        </w:numPr>
        <w:tabs>
          <w:tab w:val="left" w:pos="0"/>
        </w:tabs>
        <w:ind w:left="1134" w:hanging="425"/>
        <w:rPr>
          <w:rFonts w:eastAsia="Calibri" w:cs="Arial"/>
          <w:b w:val="0"/>
          <w:szCs w:val="24"/>
          <w:lang w:eastAsia="en-GB" w:bidi="en-GB"/>
        </w:rPr>
      </w:pPr>
      <w:r w:rsidRPr="00B9015C">
        <w:rPr>
          <w:rFonts w:eastAsia="Calibri" w:cs="Arial"/>
          <w:b w:val="0"/>
          <w:szCs w:val="24"/>
          <w:lang w:eastAsia="en-GB" w:bidi="en-GB"/>
        </w:rPr>
        <w:t xml:space="preserve">providing accessible learning and assessment for all students </w:t>
      </w:r>
    </w:p>
    <w:p w:rsidRPr="00B9015C" w:rsidR="00B9015C" w:rsidP="00B9015C" w:rsidRDefault="00B9015C" w14:paraId="1F62C99A" w14:textId="77777777">
      <w:pPr>
        <w:numPr>
          <w:ilvl w:val="0"/>
          <w:numId w:val="5"/>
        </w:numPr>
        <w:tabs>
          <w:tab w:val="left" w:pos="0"/>
        </w:tabs>
        <w:ind w:left="1134" w:hanging="425"/>
        <w:rPr>
          <w:rFonts w:eastAsia="Calibri" w:cs="Arial"/>
          <w:b w:val="0"/>
          <w:szCs w:val="24"/>
          <w:lang w:eastAsia="en-GB" w:bidi="en-GB"/>
        </w:rPr>
      </w:pPr>
      <w:r w:rsidRPr="00B9015C">
        <w:rPr>
          <w:rFonts w:eastAsia="Calibri" w:cs="Arial"/>
          <w:b w:val="0"/>
          <w:szCs w:val="24"/>
          <w:lang w:eastAsia="en-GB" w:bidi="en-GB"/>
        </w:rPr>
        <w:t xml:space="preserve">providing for flexibility and choice in learning, </w:t>
      </w:r>
      <w:proofErr w:type="gramStart"/>
      <w:r w:rsidRPr="00B9015C">
        <w:rPr>
          <w:rFonts w:eastAsia="Calibri" w:cs="Arial"/>
          <w:b w:val="0"/>
          <w:szCs w:val="24"/>
          <w:lang w:eastAsia="en-GB" w:bidi="en-GB"/>
        </w:rPr>
        <w:t>teaching</w:t>
      </w:r>
      <w:proofErr w:type="gramEnd"/>
      <w:r w:rsidRPr="00B9015C">
        <w:rPr>
          <w:rFonts w:eastAsia="Calibri" w:cs="Arial"/>
          <w:b w:val="0"/>
          <w:szCs w:val="24"/>
          <w:lang w:eastAsia="en-GB" w:bidi="en-GB"/>
        </w:rPr>
        <w:t xml:space="preserve"> and assessment</w:t>
      </w:r>
    </w:p>
    <w:p w:rsidRPr="00B9015C" w:rsidR="00B9015C" w:rsidP="00B9015C" w:rsidRDefault="00B9015C" w14:paraId="2BDCDF74" w14:textId="77777777">
      <w:pPr>
        <w:numPr>
          <w:ilvl w:val="0"/>
          <w:numId w:val="5"/>
        </w:numPr>
        <w:tabs>
          <w:tab w:val="left" w:pos="0"/>
        </w:tabs>
        <w:ind w:left="1134" w:hanging="425"/>
        <w:rPr>
          <w:rFonts w:eastAsia="Calibri" w:cs="Arial"/>
          <w:b w:val="0"/>
          <w:szCs w:val="24"/>
          <w:lang w:eastAsia="en-GB" w:bidi="en-GB"/>
        </w:rPr>
      </w:pPr>
      <w:r w:rsidRPr="00B9015C">
        <w:rPr>
          <w:rFonts w:eastAsia="Calibri" w:cs="Arial"/>
          <w:b w:val="0"/>
          <w:szCs w:val="24"/>
          <w:lang w:eastAsia="en-GB" w:bidi="en-GB"/>
        </w:rPr>
        <w:t xml:space="preserve">ensuring the relevance of curriculum assessment items for all students </w:t>
      </w:r>
    </w:p>
    <w:p w:rsidRPr="00B9015C" w:rsidR="00B9015C" w:rsidP="00B9015C" w:rsidRDefault="00B9015C" w14:paraId="53753C0E" w14:textId="77777777">
      <w:pPr>
        <w:numPr>
          <w:ilvl w:val="0"/>
          <w:numId w:val="5"/>
        </w:numPr>
        <w:tabs>
          <w:tab w:val="left" w:pos="0"/>
        </w:tabs>
        <w:ind w:left="1134" w:hanging="425"/>
        <w:rPr>
          <w:rFonts w:eastAsia="Calibri" w:cs="Arial"/>
          <w:b w:val="0"/>
          <w:szCs w:val="24"/>
          <w:lang w:eastAsia="en-GB" w:bidi="en-GB"/>
        </w:rPr>
      </w:pPr>
      <w:r w:rsidRPr="00B9015C">
        <w:rPr>
          <w:rFonts w:eastAsia="Calibri" w:cs="Arial"/>
          <w:b w:val="0"/>
          <w:szCs w:val="24"/>
          <w:lang w:eastAsia="en-GB" w:bidi="en-GB"/>
        </w:rPr>
        <w:t xml:space="preserve">ensuring teaching staff have the requisite professional competencies for teaching and assessing all students </w:t>
      </w:r>
    </w:p>
    <w:p w:rsidRPr="00B9015C" w:rsidR="00B9015C" w:rsidP="00B9015C" w:rsidRDefault="00B9015C" w14:paraId="538DD9E6" w14:textId="77777777">
      <w:pPr>
        <w:numPr>
          <w:ilvl w:val="0"/>
          <w:numId w:val="5"/>
        </w:numPr>
        <w:tabs>
          <w:tab w:val="left" w:pos="0"/>
        </w:tabs>
        <w:ind w:left="1134" w:hanging="425"/>
        <w:rPr>
          <w:rFonts w:eastAsia="Calibri" w:cs="Arial"/>
          <w:b w:val="0"/>
          <w:szCs w:val="24"/>
          <w:lang w:eastAsia="en-GB" w:bidi="en-GB"/>
        </w:rPr>
      </w:pPr>
      <w:r w:rsidRPr="00B9015C">
        <w:rPr>
          <w:rFonts w:eastAsia="Calibri" w:cs="Arial"/>
          <w:b w:val="0"/>
          <w:szCs w:val="24"/>
          <w:lang w:eastAsia="en-GB" w:bidi="en-GB"/>
        </w:rPr>
        <w:t>making reasonable adjustments where appropriate and/or considering applications for alternative assessment arrangements.</w:t>
      </w:r>
    </w:p>
    <w:p w:rsidRPr="00B9015C" w:rsidR="00B9015C" w:rsidP="00B9015C" w:rsidRDefault="00B9015C" w14:paraId="03ED2D37" w14:textId="77777777">
      <w:pPr>
        <w:widowControl w:val="0"/>
        <w:tabs>
          <w:tab w:val="left" w:pos="0"/>
        </w:tabs>
        <w:autoSpaceDE w:val="0"/>
        <w:autoSpaceDN w:val="0"/>
        <w:ind w:left="675" w:hanging="675"/>
        <w:rPr>
          <w:rFonts w:eastAsia="Calibri" w:cs="Arial"/>
          <w:b w:val="0"/>
          <w:szCs w:val="24"/>
          <w:lang w:eastAsia="en-GB" w:bidi="en-GB"/>
        </w:rPr>
      </w:pPr>
    </w:p>
    <w:p w:rsidRPr="00B9015C" w:rsidR="00B9015C" w:rsidP="00B9015C" w:rsidRDefault="00B9015C" w14:paraId="3CEC5698" w14:textId="77777777">
      <w:pPr>
        <w:tabs>
          <w:tab w:val="left" w:pos="0"/>
        </w:tabs>
        <w:ind w:left="-34" w:firstLine="34"/>
        <w:rPr>
          <w:rFonts w:cs="Arial"/>
          <w:b w:val="0"/>
          <w:szCs w:val="24"/>
        </w:rPr>
      </w:pPr>
      <w:r w:rsidRPr="00B9015C">
        <w:rPr>
          <w:rFonts w:cs="Arial"/>
          <w:b w:val="0"/>
          <w:szCs w:val="24"/>
        </w:rPr>
        <w:t>5.2</w:t>
      </w:r>
      <w:r w:rsidRPr="00B9015C">
        <w:rPr>
          <w:rFonts w:cs="Arial"/>
          <w:b w:val="0"/>
          <w:szCs w:val="24"/>
        </w:rPr>
        <w:tab/>
        <w:t xml:space="preserve">Inclusive teaching and assessment is best facilitated by anticipating and planning for the learning requirements of all students. This involves anticipating and considering, in a generalised way, the requirements of students with learning and/or physical disabilities. </w:t>
      </w:r>
    </w:p>
    <w:p w:rsidRPr="00B9015C" w:rsidR="00B9015C" w:rsidP="00B9015C" w:rsidRDefault="00B9015C" w14:paraId="51C2E739" w14:textId="77777777">
      <w:pPr>
        <w:tabs>
          <w:tab w:val="left" w:pos="0"/>
        </w:tabs>
        <w:ind w:left="-34" w:firstLine="34"/>
        <w:rPr>
          <w:rFonts w:cs="Arial"/>
          <w:b w:val="0"/>
          <w:szCs w:val="24"/>
        </w:rPr>
      </w:pPr>
    </w:p>
    <w:p w:rsidRPr="00B9015C" w:rsidR="00B9015C" w:rsidP="00B9015C" w:rsidRDefault="00B9015C" w14:paraId="3D2D6606" w14:textId="77777777">
      <w:pPr>
        <w:rPr>
          <w:b w:val="0"/>
        </w:rPr>
      </w:pPr>
      <w:r w:rsidRPr="00B9015C">
        <w:rPr>
          <w:b w:val="0"/>
        </w:rPr>
        <w:t>5.3</w:t>
      </w:r>
      <w:r w:rsidRPr="00B9015C">
        <w:rPr>
          <w:b w:val="0"/>
        </w:rPr>
        <w:tab/>
        <w:t xml:space="preserve">Key aspects of inclusion for learning, </w:t>
      </w:r>
      <w:proofErr w:type="gramStart"/>
      <w:r w:rsidRPr="00B9015C">
        <w:rPr>
          <w:b w:val="0"/>
        </w:rPr>
        <w:t>teaching</w:t>
      </w:r>
      <w:proofErr w:type="gramEnd"/>
      <w:r w:rsidRPr="00B9015C">
        <w:rPr>
          <w:b w:val="0"/>
        </w:rPr>
        <w:t xml:space="preserve"> and assessment, should inform all phases of programme design, development, approval, evaluation and review on an ongoing basis. </w:t>
      </w:r>
    </w:p>
    <w:p w:rsidRPr="00B9015C" w:rsidR="00B9015C" w:rsidP="00B9015C" w:rsidRDefault="00B9015C" w14:paraId="11AFD8BD" w14:textId="77777777">
      <w:pPr>
        <w:keepNext/>
        <w:keepLines/>
        <w:spacing w:before="40"/>
        <w:outlineLvl w:val="2"/>
        <w:rPr>
          <w:rFonts w:asciiTheme="majorHAnsi" w:hAnsiTheme="majorHAnsi" w:eastAsiaTheme="majorEastAsia" w:cstheme="majorBidi"/>
          <w:color w:val="1F3763" w:themeColor="accent1" w:themeShade="7F"/>
          <w:szCs w:val="24"/>
        </w:rPr>
      </w:pPr>
    </w:p>
    <w:p w:rsidRPr="00B9015C" w:rsidR="00B9015C" w:rsidP="00B9015C" w:rsidRDefault="00B9015C" w14:paraId="221A74FF" w14:textId="77777777">
      <w:pPr>
        <w:keepNext/>
        <w:keepLines/>
        <w:spacing w:before="40"/>
        <w:outlineLvl w:val="2"/>
        <w:rPr>
          <w:rFonts w:eastAsiaTheme="majorEastAsia" w:cstheme="majorBidi"/>
          <w:color w:val="000000" w:themeColor="text1"/>
          <w:szCs w:val="24"/>
        </w:rPr>
      </w:pPr>
      <w:bookmarkStart w:name="_Toc79151265" w:id="11"/>
      <w:r w:rsidRPr="00B9015C">
        <w:rPr>
          <w:rFonts w:eastAsiaTheme="majorEastAsia" w:cstheme="majorBidi"/>
          <w:color w:val="000000" w:themeColor="text1"/>
          <w:szCs w:val="24"/>
        </w:rPr>
        <w:t>6</w:t>
      </w:r>
      <w:r w:rsidRPr="00B9015C">
        <w:rPr>
          <w:rFonts w:eastAsiaTheme="majorEastAsia" w:cstheme="majorBidi"/>
          <w:color w:val="000000" w:themeColor="text1"/>
          <w:szCs w:val="24"/>
        </w:rPr>
        <w:tab/>
        <w:t>Reasonable Adjustments</w:t>
      </w:r>
      <w:bookmarkEnd w:id="11"/>
    </w:p>
    <w:p w:rsidRPr="00B9015C" w:rsidR="00B9015C" w:rsidP="00B9015C" w:rsidRDefault="00B9015C" w14:paraId="6C072629" w14:textId="77777777"/>
    <w:p w:rsidRPr="00B9015C" w:rsidR="00B9015C" w:rsidP="00B9015C" w:rsidRDefault="00B9015C" w14:paraId="694FF6B1" w14:textId="77777777">
      <w:pPr>
        <w:autoSpaceDE w:val="0"/>
        <w:autoSpaceDN w:val="0"/>
        <w:adjustRightInd w:val="0"/>
        <w:rPr>
          <w:rFonts w:cs="Arial"/>
          <w:b w:val="0"/>
          <w:color w:val="000000"/>
          <w:szCs w:val="24"/>
        </w:rPr>
      </w:pPr>
      <w:r w:rsidRPr="00B9015C">
        <w:rPr>
          <w:rFonts w:cs="Arial"/>
          <w:b w:val="0"/>
          <w:color w:val="000000"/>
          <w:szCs w:val="24"/>
        </w:rPr>
        <w:t>6.1</w:t>
      </w:r>
      <w:r w:rsidRPr="00B9015C">
        <w:rPr>
          <w:rFonts w:cs="Arial"/>
          <w:b w:val="0"/>
          <w:szCs w:val="24"/>
        </w:rPr>
        <w:tab/>
        <w:t>The University recognises that the adoption of inclusive teaching, learning and assessment methods does not negate the need for students to meet competency standards. A competency standard is defined in the Equality Act 2010 as ‘an academic, medical, or other standard applied by, or on behalf of, an education provider for the purpose of determining whether or not a person has a particular level of competence or ability’.</w:t>
      </w:r>
      <w:r w:rsidRPr="00B9015C">
        <w:rPr>
          <w:rFonts w:cs="Arial"/>
          <w:b w:val="0"/>
          <w:szCs w:val="24"/>
        </w:rPr>
        <w:br/>
      </w:r>
    </w:p>
    <w:p w:rsidRPr="00B9015C" w:rsidR="00B9015C" w:rsidP="00B9015C" w:rsidRDefault="00B9015C" w14:paraId="3BB7D19F" w14:textId="77777777">
      <w:pPr>
        <w:rPr>
          <w:rFonts w:cs="Arial"/>
          <w:b w:val="0"/>
          <w:szCs w:val="24"/>
        </w:rPr>
      </w:pPr>
      <w:r w:rsidRPr="00B9015C">
        <w:rPr>
          <w:rFonts w:cs="Arial"/>
          <w:b w:val="0"/>
          <w:szCs w:val="24"/>
        </w:rPr>
        <w:t>6.2</w:t>
      </w:r>
      <w:r w:rsidRPr="00B9015C">
        <w:rPr>
          <w:rFonts w:cs="Arial"/>
          <w:b w:val="0"/>
          <w:szCs w:val="24"/>
        </w:rPr>
        <w:tab/>
        <w:t xml:space="preserve">In keeping with the Equalities Act 2010 the University does not seek to modify competence requirements or learning outcomes which meet the definition of a competence standard. A genuine competence standard applies equally to all students and may not be modified.  However, depending on the need of an individual student, the means by which that student is enabled to demonstrate the standard can be adjusted/adapted. This might involve, for example: adapting materials used in an assessment to aid accessibility; </w:t>
      </w:r>
      <w:proofErr w:type="gramStart"/>
      <w:r w:rsidRPr="00B9015C">
        <w:rPr>
          <w:rFonts w:cs="Arial"/>
          <w:b w:val="0"/>
          <w:szCs w:val="24"/>
        </w:rPr>
        <w:t>providing assistance</w:t>
      </w:r>
      <w:proofErr w:type="gramEnd"/>
      <w:r w:rsidRPr="00B9015C">
        <w:rPr>
          <w:rFonts w:cs="Arial"/>
          <w:b w:val="0"/>
          <w:szCs w:val="24"/>
        </w:rPr>
        <w:t xml:space="preserve"> during assessment; </w:t>
      </w:r>
      <w:r w:rsidRPr="00B9015C">
        <w:rPr>
          <w:rFonts w:cs="Arial"/>
          <w:b w:val="0"/>
          <w:szCs w:val="24"/>
        </w:rPr>
        <w:br/>
        <w:t>re-organising the assessment physical environment and facilitating the use of assistive technology and a computer.</w:t>
      </w:r>
    </w:p>
    <w:p w:rsidRPr="00B9015C" w:rsidR="00B9015C" w:rsidP="00B9015C" w:rsidRDefault="00B9015C" w14:paraId="15F19B21" w14:textId="77777777">
      <w:pPr>
        <w:tabs>
          <w:tab w:val="left" w:pos="0"/>
        </w:tabs>
        <w:rPr>
          <w:rFonts w:cs="Arial"/>
          <w:b w:val="0"/>
          <w:szCs w:val="24"/>
        </w:rPr>
      </w:pPr>
    </w:p>
    <w:p w:rsidRPr="00B9015C" w:rsidR="00B9015C" w:rsidP="00B9015C" w:rsidRDefault="00B9015C" w14:paraId="70D8F6B6" w14:textId="77777777">
      <w:pPr>
        <w:tabs>
          <w:tab w:val="left" w:pos="0"/>
        </w:tabs>
        <w:rPr>
          <w:rFonts w:cs="Arial"/>
          <w:b w:val="0"/>
          <w:szCs w:val="24"/>
        </w:rPr>
      </w:pPr>
      <w:r w:rsidRPr="00B9015C">
        <w:rPr>
          <w:rFonts w:cs="Arial"/>
          <w:b w:val="0"/>
          <w:szCs w:val="24"/>
        </w:rPr>
        <w:t>6.3</w:t>
      </w:r>
      <w:r w:rsidRPr="00B9015C">
        <w:rPr>
          <w:rFonts w:cs="Arial"/>
          <w:b w:val="0"/>
          <w:szCs w:val="24"/>
        </w:rPr>
        <w:tab/>
        <w:t xml:space="preserve">Where it is necessary to </w:t>
      </w:r>
      <w:proofErr w:type="gramStart"/>
      <w:r w:rsidRPr="00B9015C">
        <w:rPr>
          <w:rFonts w:cs="Arial"/>
          <w:b w:val="0"/>
          <w:szCs w:val="24"/>
        </w:rPr>
        <w:t>make adjustments to</w:t>
      </w:r>
      <w:proofErr w:type="gramEnd"/>
      <w:r w:rsidRPr="00B9015C">
        <w:rPr>
          <w:rFonts w:cs="Arial"/>
          <w:b w:val="0"/>
          <w:szCs w:val="24"/>
        </w:rPr>
        <w:t xml:space="preserve"> assessments in order to meet individual student learning needs, such adjustments should be reasonable and take account of the principles of equity and parity of assessment practices. In considering all requests for specific adjustments, the University will make individual reasonable adjustments based on the student’s particular requirements. The University will need to consider the extent to which the adjustment requested is due to the impacts of the student’s disability.</w:t>
      </w:r>
    </w:p>
    <w:p w:rsidRPr="00B9015C" w:rsidR="00B9015C" w:rsidP="00B9015C" w:rsidRDefault="00B9015C" w14:paraId="4E7D8706" w14:textId="77777777">
      <w:pPr>
        <w:tabs>
          <w:tab w:val="left" w:pos="720"/>
        </w:tabs>
        <w:ind w:left="709" w:hanging="709"/>
        <w:rPr>
          <w:rFonts w:cs="Arial"/>
          <w:b w:val="0"/>
          <w:szCs w:val="24"/>
        </w:rPr>
      </w:pPr>
    </w:p>
    <w:p w:rsidRPr="00B9015C" w:rsidR="00B9015C" w:rsidP="00B9015C" w:rsidRDefault="00B9015C" w14:paraId="40B1C207" w14:textId="4BC39E2F">
      <w:pPr>
        <w:tabs>
          <w:tab w:val="left" w:pos="0"/>
          <w:tab w:val="left" w:pos="675"/>
        </w:tabs>
        <w:rPr>
          <w:rFonts w:cs="Arial"/>
          <w:b w:val="0"/>
          <w:szCs w:val="24"/>
        </w:rPr>
      </w:pPr>
      <w:r w:rsidRPr="00B9015C">
        <w:rPr>
          <w:rFonts w:cs="Arial"/>
          <w:b w:val="0"/>
          <w:szCs w:val="24"/>
        </w:rPr>
        <w:lastRenderedPageBreak/>
        <w:t>6.4</w:t>
      </w:r>
      <w:r w:rsidRPr="00B9015C">
        <w:rPr>
          <w:rFonts w:cs="Arial"/>
          <w:b w:val="0"/>
          <w:szCs w:val="24"/>
        </w:rPr>
        <w:tab/>
      </w:r>
      <w:r w:rsidRPr="00B9015C">
        <w:rPr>
          <w:rFonts w:cs="Arial"/>
          <w:b w:val="0"/>
          <w:szCs w:val="24"/>
        </w:rPr>
        <w:tab/>
        <w:t xml:space="preserve">There is no current legal definition of what a reasonable adjustment might entail. However, the Equality Challenge Unit (now AdvanceHE) has published </w:t>
      </w:r>
      <w:hyperlink w:history="1" r:id="rId14">
        <w:r w:rsidRPr="00D93869">
          <w:rPr>
            <w:rStyle w:val="Hyperlink"/>
            <w:rFonts w:cs="Arial"/>
            <w:b w:val="0"/>
            <w:szCs w:val="24"/>
          </w:rPr>
          <w:t>guidance on making reasonable adjustments</w:t>
        </w:r>
      </w:hyperlink>
      <w:r w:rsidRPr="00B9015C">
        <w:rPr>
          <w:rFonts w:cs="Arial"/>
          <w:b w:val="0"/>
          <w:szCs w:val="24"/>
        </w:rPr>
        <w:t xml:space="preserve"> and this should be considered when making decisions about adjustments in assessment. Decisions should be further informed by considering:</w:t>
      </w:r>
      <w:r w:rsidRPr="00B9015C">
        <w:rPr>
          <w:rFonts w:cs="Arial"/>
          <w:b w:val="0"/>
          <w:szCs w:val="24"/>
        </w:rPr>
        <w:br/>
      </w:r>
    </w:p>
    <w:p w:rsidRPr="00B9015C" w:rsidR="00B9015C" w:rsidP="00B9015C" w:rsidRDefault="00B9015C" w14:paraId="7E6D6001" w14:textId="77777777">
      <w:pPr>
        <w:numPr>
          <w:ilvl w:val="0"/>
          <w:numId w:val="20"/>
        </w:numPr>
        <w:autoSpaceDE w:val="0"/>
        <w:autoSpaceDN w:val="0"/>
        <w:adjustRightInd w:val="0"/>
        <w:ind w:left="1134" w:hanging="425"/>
        <w:rPr>
          <w:rFonts w:cs="Arial"/>
          <w:b w:val="0"/>
          <w:color w:val="000000"/>
          <w:szCs w:val="24"/>
        </w:rPr>
      </w:pPr>
      <w:r w:rsidRPr="00B9015C">
        <w:rPr>
          <w:rFonts w:cs="Arial"/>
          <w:b w:val="0"/>
          <w:color w:val="000000"/>
          <w:szCs w:val="24"/>
        </w:rPr>
        <w:t xml:space="preserve">whether the student is disadvantaged by the current modes of teaching or assessment </w:t>
      </w:r>
    </w:p>
    <w:p w:rsidRPr="00B9015C" w:rsidR="00B9015C" w:rsidP="00B9015C" w:rsidRDefault="00B9015C" w14:paraId="450901EC" w14:textId="77777777">
      <w:pPr>
        <w:numPr>
          <w:ilvl w:val="0"/>
          <w:numId w:val="20"/>
        </w:numPr>
        <w:autoSpaceDE w:val="0"/>
        <w:autoSpaceDN w:val="0"/>
        <w:adjustRightInd w:val="0"/>
        <w:ind w:left="1134" w:hanging="425"/>
        <w:rPr>
          <w:rFonts w:cs="Arial"/>
          <w:b w:val="0"/>
          <w:color w:val="000000"/>
          <w:szCs w:val="24"/>
        </w:rPr>
      </w:pPr>
      <w:r w:rsidRPr="00B9015C">
        <w:rPr>
          <w:rFonts w:cs="Arial"/>
          <w:b w:val="0"/>
          <w:color w:val="000000"/>
          <w:szCs w:val="24"/>
        </w:rPr>
        <w:t>how effective proposed adjustments will be in overcoming any disadvantage</w:t>
      </w:r>
    </w:p>
    <w:p w:rsidRPr="00B9015C" w:rsidR="00B9015C" w:rsidP="00B9015C" w:rsidRDefault="00B9015C" w14:paraId="059B8272" w14:textId="77777777">
      <w:pPr>
        <w:numPr>
          <w:ilvl w:val="0"/>
          <w:numId w:val="20"/>
        </w:numPr>
        <w:autoSpaceDE w:val="0"/>
        <w:autoSpaceDN w:val="0"/>
        <w:adjustRightInd w:val="0"/>
        <w:ind w:left="1134" w:hanging="425"/>
        <w:rPr>
          <w:rFonts w:cs="Arial"/>
          <w:b w:val="0"/>
          <w:color w:val="000000"/>
          <w:szCs w:val="24"/>
        </w:rPr>
      </w:pPr>
      <w:r w:rsidRPr="00B9015C">
        <w:rPr>
          <w:rFonts w:cs="Arial"/>
          <w:b w:val="0"/>
          <w:color w:val="000000"/>
          <w:szCs w:val="24"/>
        </w:rPr>
        <w:t>whether an adjustment request is related to a disability or is just an expression of preference</w:t>
      </w:r>
    </w:p>
    <w:p w:rsidRPr="00B9015C" w:rsidR="00B9015C" w:rsidP="00B9015C" w:rsidRDefault="00B9015C" w14:paraId="39E7FC5F" w14:textId="77777777">
      <w:pPr>
        <w:numPr>
          <w:ilvl w:val="0"/>
          <w:numId w:val="20"/>
        </w:numPr>
        <w:ind w:left="1134" w:hanging="425"/>
        <w:contextualSpacing/>
        <w:rPr>
          <w:rFonts w:eastAsia="Calibri" w:cs="Arial"/>
          <w:b w:val="0"/>
          <w:szCs w:val="24"/>
          <w:lang w:eastAsia="en-GB" w:bidi="en-GB"/>
        </w:rPr>
      </w:pPr>
      <w:r w:rsidRPr="00B9015C">
        <w:rPr>
          <w:rFonts w:eastAsia="Calibri" w:cs="Arial"/>
          <w:b w:val="0"/>
          <w:szCs w:val="24"/>
          <w:lang w:eastAsia="en-GB" w:bidi="en-GB"/>
        </w:rPr>
        <w:t>whether proposed adjustments are reasonable in terms of -</w:t>
      </w:r>
    </w:p>
    <w:p w:rsidRPr="00B9015C" w:rsidR="00B9015C" w:rsidP="00B9015C" w:rsidRDefault="00B9015C" w14:paraId="13C9A1C1" w14:textId="77777777">
      <w:pPr>
        <w:numPr>
          <w:ilvl w:val="0"/>
          <w:numId w:val="21"/>
        </w:numPr>
        <w:ind w:left="1560" w:hanging="426"/>
        <w:rPr>
          <w:rFonts w:cs="Arial"/>
          <w:b w:val="0"/>
          <w:szCs w:val="24"/>
        </w:rPr>
      </w:pPr>
      <w:r w:rsidRPr="00B9015C">
        <w:rPr>
          <w:rFonts w:cs="Arial"/>
          <w:b w:val="0"/>
          <w:szCs w:val="24"/>
        </w:rPr>
        <w:t xml:space="preserve">the practicality of the changes for staff and students </w:t>
      </w:r>
    </w:p>
    <w:p w:rsidRPr="00B9015C" w:rsidR="00B9015C" w:rsidP="00B9015C" w:rsidRDefault="00B9015C" w14:paraId="394F2967" w14:textId="77777777">
      <w:pPr>
        <w:numPr>
          <w:ilvl w:val="0"/>
          <w:numId w:val="21"/>
        </w:numPr>
        <w:ind w:left="1560" w:hanging="426"/>
        <w:rPr>
          <w:rFonts w:cs="Arial"/>
          <w:b w:val="0"/>
          <w:szCs w:val="24"/>
        </w:rPr>
      </w:pPr>
      <w:r w:rsidRPr="00B9015C">
        <w:rPr>
          <w:rFonts w:cs="Arial"/>
          <w:b w:val="0"/>
          <w:szCs w:val="24"/>
        </w:rPr>
        <w:t>the potential impacts on other students</w:t>
      </w:r>
    </w:p>
    <w:p w:rsidRPr="00B9015C" w:rsidR="00B9015C" w:rsidP="00B9015C" w:rsidRDefault="00B9015C" w14:paraId="2CF4286A" w14:textId="77777777">
      <w:pPr>
        <w:numPr>
          <w:ilvl w:val="0"/>
          <w:numId w:val="21"/>
        </w:numPr>
        <w:ind w:left="1560" w:hanging="426"/>
        <w:rPr>
          <w:rFonts w:cs="Arial"/>
          <w:b w:val="0"/>
          <w:szCs w:val="24"/>
        </w:rPr>
      </w:pPr>
      <w:r w:rsidRPr="00B9015C">
        <w:rPr>
          <w:rFonts w:cs="Arial"/>
          <w:b w:val="0"/>
          <w:szCs w:val="24"/>
        </w:rPr>
        <w:t>the potential wider benefits to other students.</w:t>
      </w:r>
      <w:r w:rsidRPr="00B9015C">
        <w:rPr>
          <w:rFonts w:cs="Arial"/>
          <w:b w:val="0"/>
          <w:szCs w:val="24"/>
        </w:rPr>
        <w:br/>
      </w:r>
    </w:p>
    <w:p w:rsidRPr="00B9015C" w:rsidR="00B9015C" w:rsidP="00B9015C" w:rsidRDefault="00B9015C" w14:paraId="2DBF35BD" w14:textId="77777777">
      <w:pPr>
        <w:tabs>
          <w:tab w:val="left" w:pos="-34"/>
        </w:tabs>
        <w:rPr>
          <w:rFonts w:cs="Arial"/>
          <w:b w:val="0"/>
          <w:szCs w:val="24"/>
        </w:rPr>
      </w:pPr>
      <w:r w:rsidRPr="00B9015C">
        <w:rPr>
          <w:rFonts w:cs="Arial"/>
          <w:b w:val="0"/>
          <w:szCs w:val="24"/>
        </w:rPr>
        <w:t>6.5</w:t>
      </w:r>
      <w:r w:rsidRPr="00B9015C">
        <w:rPr>
          <w:rFonts w:cs="Arial"/>
          <w:b w:val="0"/>
          <w:szCs w:val="24"/>
        </w:rPr>
        <w:tab/>
        <w:t>It is not possible to identify all possible reasonable adjustments that may be required.  The most common reasonable adjustments made for assessment include:</w:t>
      </w:r>
      <w:r w:rsidRPr="00B9015C">
        <w:rPr>
          <w:rFonts w:cs="Arial"/>
          <w:b w:val="0"/>
          <w:szCs w:val="24"/>
        </w:rPr>
        <w:br/>
      </w:r>
    </w:p>
    <w:p w:rsidRPr="00B9015C" w:rsidR="00B9015C" w:rsidP="009D7169" w:rsidRDefault="00B9015C" w14:paraId="1B7D553A" w14:textId="77777777">
      <w:pPr>
        <w:numPr>
          <w:ilvl w:val="0"/>
          <w:numId w:val="10"/>
        </w:numPr>
        <w:ind w:left="1134" w:hanging="425"/>
        <w:contextualSpacing/>
        <w:rPr>
          <w:rFonts w:eastAsia="Calibri" w:cs="Arial"/>
          <w:b w:val="0"/>
          <w:szCs w:val="24"/>
          <w:lang w:eastAsia="en-GB" w:bidi="en-GB"/>
        </w:rPr>
      </w:pPr>
      <w:r w:rsidRPr="00B9015C">
        <w:rPr>
          <w:rFonts w:eastAsia="Calibri" w:cs="Arial"/>
          <w:b w:val="0"/>
          <w:szCs w:val="24"/>
          <w:lang w:eastAsia="en-GB" w:bidi="en-GB"/>
        </w:rPr>
        <w:t>extra time</w:t>
      </w:r>
    </w:p>
    <w:p w:rsidRPr="00B9015C" w:rsidR="00B9015C" w:rsidP="009D7169" w:rsidRDefault="00B9015C" w14:paraId="323B4313" w14:textId="77777777">
      <w:pPr>
        <w:numPr>
          <w:ilvl w:val="0"/>
          <w:numId w:val="10"/>
        </w:numPr>
        <w:ind w:left="1134" w:hanging="425"/>
        <w:contextualSpacing/>
        <w:rPr>
          <w:rFonts w:eastAsia="Calibri" w:cs="Arial"/>
          <w:b w:val="0"/>
          <w:szCs w:val="24"/>
          <w:lang w:eastAsia="en-GB" w:bidi="en-GB"/>
        </w:rPr>
      </w:pPr>
      <w:r w:rsidRPr="00B9015C">
        <w:rPr>
          <w:rFonts w:eastAsia="Calibri" w:cs="Arial"/>
          <w:b w:val="0"/>
          <w:szCs w:val="24"/>
          <w:lang w:eastAsia="en-GB" w:bidi="en-GB"/>
        </w:rPr>
        <w:t>rest breaks</w:t>
      </w:r>
    </w:p>
    <w:p w:rsidRPr="00B9015C" w:rsidR="00B9015C" w:rsidP="009D7169" w:rsidRDefault="00B9015C" w14:paraId="7116DD67" w14:textId="77777777">
      <w:pPr>
        <w:numPr>
          <w:ilvl w:val="0"/>
          <w:numId w:val="10"/>
        </w:numPr>
        <w:ind w:left="1134" w:hanging="425"/>
        <w:contextualSpacing/>
        <w:rPr>
          <w:rFonts w:eastAsia="Calibri" w:cs="Arial"/>
          <w:b w:val="0"/>
          <w:szCs w:val="24"/>
          <w:lang w:eastAsia="en-GB" w:bidi="en-GB"/>
        </w:rPr>
      </w:pPr>
      <w:r w:rsidRPr="00B9015C">
        <w:rPr>
          <w:rFonts w:eastAsia="Calibri" w:cs="Arial"/>
          <w:b w:val="0"/>
          <w:szCs w:val="24"/>
          <w:lang w:eastAsia="en-GB" w:bidi="en-GB"/>
        </w:rPr>
        <w:t>use of software</w:t>
      </w:r>
    </w:p>
    <w:p w:rsidRPr="00B9015C" w:rsidR="00B9015C" w:rsidP="009D7169" w:rsidRDefault="00B9015C" w14:paraId="1538A0A5" w14:textId="77777777">
      <w:pPr>
        <w:numPr>
          <w:ilvl w:val="0"/>
          <w:numId w:val="10"/>
        </w:numPr>
        <w:ind w:left="1134" w:hanging="425"/>
        <w:contextualSpacing/>
        <w:rPr>
          <w:rFonts w:eastAsia="Calibri" w:cs="Arial"/>
          <w:b w:val="0"/>
          <w:szCs w:val="24"/>
          <w:lang w:eastAsia="en-GB" w:bidi="en-GB"/>
        </w:rPr>
      </w:pPr>
      <w:r w:rsidRPr="00B9015C">
        <w:rPr>
          <w:rFonts w:eastAsia="Calibri" w:cs="Arial"/>
          <w:b w:val="0"/>
          <w:szCs w:val="24"/>
          <w:lang w:eastAsia="en-GB" w:bidi="en-GB"/>
        </w:rPr>
        <w:t>use of specialist equipment eg chair</w:t>
      </w:r>
    </w:p>
    <w:p w:rsidRPr="00B9015C" w:rsidR="00B9015C" w:rsidP="009D7169" w:rsidRDefault="00B9015C" w14:paraId="3877A6E5" w14:textId="77777777">
      <w:pPr>
        <w:numPr>
          <w:ilvl w:val="0"/>
          <w:numId w:val="10"/>
        </w:numPr>
        <w:ind w:left="1134" w:hanging="425"/>
        <w:contextualSpacing/>
        <w:rPr>
          <w:rFonts w:eastAsia="Calibri" w:cs="Arial"/>
          <w:b w:val="0"/>
          <w:szCs w:val="24"/>
          <w:lang w:eastAsia="en-GB" w:bidi="en-GB"/>
        </w:rPr>
      </w:pPr>
      <w:r w:rsidRPr="00B9015C">
        <w:rPr>
          <w:rFonts w:eastAsia="Calibri" w:cs="Arial"/>
          <w:b w:val="0"/>
          <w:szCs w:val="24"/>
          <w:lang w:eastAsia="en-GB" w:bidi="en-GB"/>
        </w:rPr>
        <w:t>use of PC</w:t>
      </w:r>
    </w:p>
    <w:p w:rsidRPr="00B9015C" w:rsidR="00B9015C" w:rsidP="009D7169" w:rsidRDefault="00B9015C" w14:paraId="614A6792" w14:textId="77777777">
      <w:pPr>
        <w:numPr>
          <w:ilvl w:val="0"/>
          <w:numId w:val="10"/>
        </w:numPr>
        <w:ind w:left="1134" w:hanging="425"/>
        <w:contextualSpacing/>
        <w:rPr>
          <w:rFonts w:eastAsia="Calibri" w:cs="Arial"/>
          <w:b w:val="0"/>
          <w:szCs w:val="24"/>
          <w:lang w:eastAsia="en-GB" w:bidi="en-GB"/>
        </w:rPr>
      </w:pPr>
      <w:r w:rsidRPr="00B9015C">
        <w:rPr>
          <w:rFonts w:eastAsia="Calibri" w:cs="Arial"/>
          <w:b w:val="0"/>
          <w:szCs w:val="24"/>
          <w:lang w:eastAsia="en-GB" w:bidi="en-GB"/>
        </w:rPr>
        <w:t>separate room/small group environment</w:t>
      </w:r>
    </w:p>
    <w:p w:rsidRPr="00B9015C" w:rsidR="00B9015C" w:rsidP="009D7169" w:rsidRDefault="00B9015C" w14:paraId="7E7437B5" w14:textId="77777777">
      <w:pPr>
        <w:numPr>
          <w:ilvl w:val="0"/>
          <w:numId w:val="10"/>
        </w:numPr>
        <w:ind w:left="1134" w:hanging="425"/>
        <w:contextualSpacing/>
        <w:rPr>
          <w:rFonts w:eastAsia="Calibri" w:cs="Arial"/>
          <w:b w:val="0"/>
          <w:szCs w:val="24"/>
          <w:lang w:eastAsia="en-GB" w:bidi="en-GB"/>
        </w:rPr>
      </w:pPr>
      <w:r w:rsidRPr="00B9015C">
        <w:rPr>
          <w:rFonts w:eastAsia="Calibri" w:cs="Arial"/>
          <w:b w:val="0"/>
          <w:szCs w:val="24"/>
          <w:lang w:eastAsia="en-GB" w:bidi="en-GB"/>
        </w:rPr>
        <w:t>supported by a Support Worker – scribe, reader, prompter</w:t>
      </w:r>
    </w:p>
    <w:p w:rsidRPr="00B9015C" w:rsidR="00B9015C" w:rsidP="009D7169" w:rsidRDefault="00B9015C" w14:paraId="4B8A1BA1" w14:textId="77777777">
      <w:pPr>
        <w:numPr>
          <w:ilvl w:val="0"/>
          <w:numId w:val="10"/>
        </w:numPr>
        <w:ind w:left="1134" w:hanging="425"/>
        <w:contextualSpacing/>
        <w:rPr>
          <w:rFonts w:eastAsia="Calibri" w:cs="Arial"/>
          <w:b w:val="0"/>
          <w:szCs w:val="24"/>
          <w:lang w:eastAsia="en-GB" w:bidi="en-GB"/>
        </w:rPr>
      </w:pPr>
      <w:r w:rsidRPr="00B9015C">
        <w:rPr>
          <w:rFonts w:eastAsia="Calibri" w:cs="Arial"/>
          <w:b w:val="0"/>
          <w:szCs w:val="24"/>
          <w:lang w:eastAsia="en-GB" w:bidi="en-GB"/>
        </w:rPr>
        <w:t>alternative formats – different options including enlarged print, colour of materials, electronic formats</w:t>
      </w:r>
    </w:p>
    <w:p w:rsidRPr="00B9015C" w:rsidR="00B9015C" w:rsidP="009D7169" w:rsidRDefault="00B9015C" w14:paraId="0C52D984" w14:textId="77777777">
      <w:pPr>
        <w:numPr>
          <w:ilvl w:val="0"/>
          <w:numId w:val="10"/>
        </w:numPr>
        <w:ind w:left="1134" w:hanging="425"/>
        <w:contextualSpacing/>
        <w:rPr>
          <w:rFonts w:eastAsia="Calibri" w:cs="Arial"/>
          <w:b w:val="0"/>
          <w:szCs w:val="24"/>
          <w:lang w:eastAsia="en-GB" w:bidi="en-GB"/>
        </w:rPr>
      </w:pPr>
      <w:r w:rsidRPr="00B9015C">
        <w:rPr>
          <w:rFonts w:eastAsia="Calibri" w:cs="Arial"/>
          <w:b w:val="0"/>
          <w:szCs w:val="24"/>
          <w:lang w:eastAsia="en-GB" w:bidi="en-GB"/>
        </w:rPr>
        <w:t>timing of exams – mornings only, one exam a day etc.</w:t>
      </w:r>
    </w:p>
    <w:p w:rsidRPr="00B9015C" w:rsidR="00B9015C" w:rsidP="00B9015C" w:rsidRDefault="00B9015C" w14:paraId="616F5140" w14:textId="77777777">
      <w:pPr>
        <w:rPr>
          <w:rFonts w:cs="Arial"/>
          <w:b w:val="0"/>
          <w:szCs w:val="24"/>
        </w:rPr>
      </w:pPr>
    </w:p>
    <w:p w:rsidRPr="00B9015C" w:rsidR="00B9015C" w:rsidP="00B9015C" w:rsidRDefault="00B9015C" w14:paraId="068CFC37" w14:textId="77777777">
      <w:pPr>
        <w:keepNext/>
        <w:keepLines/>
        <w:spacing w:before="40"/>
        <w:outlineLvl w:val="2"/>
        <w:rPr>
          <w:rFonts w:cs="Arial" w:eastAsiaTheme="majorEastAsia"/>
          <w:color w:val="000000" w:themeColor="text1"/>
          <w:szCs w:val="24"/>
        </w:rPr>
      </w:pPr>
      <w:bookmarkStart w:name="_Toc79151266" w:id="12"/>
      <w:r w:rsidRPr="00B9015C">
        <w:rPr>
          <w:rFonts w:cs="Arial" w:eastAsiaTheme="majorEastAsia"/>
          <w:color w:val="000000" w:themeColor="text1"/>
          <w:szCs w:val="24"/>
        </w:rPr>
        <w:t>7</w:t>
      </w:r>
      <w:r w:rsidRPr="00B9015C">
        <w:rPr>
          <w:rFonts w:cs="Arial" w:eastAsiaTheme="majorEastAsia"/>
          <w:color w:val="000000" w:themeColor="text1"/>
          <w:szCs w:val="24"/>
        </w:rPr>
        <w:tab/>
        <w:t>Alternative Assessment Arrangements</w:t>
      </w:r>
      <w:bookmarkEnd w:id="12"/>
    </w:p>
    <w:p w:rsidRPr="00B9015C" w:rsidR="00B9015C" w:rsidP="00B9015C" w:rsidRDefault="00B9015C" w14:paraId="69B47609" w14:textId="77777777"/>
    <w:p w:rsidRPr="00B9015C" w:rsidR="00B9015C" w:rsidP="00B9015C" w:rsidRDefault="00B9015C" w14:paraId="4B212FFB" w14:textId="77777777">
      <w:pPr>
        <w:tabs>
          <w:tab w:val="left" w:pos="0"/>
        </w:tabs>
        <w:ind w:left="22"/>
        <w:rPr>
          <w:rFonts w:cs="Arial"/>
          <w:b w:val="0"/>
          <w:szCs w:val="24"/>
        </w:rPr>
      </w:pPr>
      <w:r w:rsidRPr="00B9015C">
        <w:rPr>
          <w:rFonts w:cs="Arial"/>
          <w:b w:val="0"/>
          <w:szCs w:val="24"/>
        </w:rPr>
        <w:t>7.1</w:t>
      </w:r>
      <w:r w:rsidRPr="00B9015C">
        <w:rPr>
          <w:rFonts w:cs="Arial"/>
          <w:b w:val="0"/>
          <w:szCs w:val="24"/>
        </w:rPr>
        <w:tab/>
        <w:t>In exceptional circumstances, where existing assessment options, even with reasonable adjustments, continue to present barriers, the need to provide for alternative assessment arrangements should be considered.</w:t>
      </w:r>
      <w:r w:rsidRPr="00B9015C">
        <w:rPr>
          <w:rFonts w:cs="Arial"/>
          <w:b w:val="0"/>
          <w:szCs w:val="24"/>
        </w:rPr>
        <w:br/>
      </w:r>
    </w:p>
    <w:p w:rsidRPr="00B9015C" w:rsidR="00B9015C" w:rsidP="00B9015C" w:rsidRDefault="00B9015C" w14:paraId="533A7B90" w14:textId="77777777">
      <w:pPr>
        <w:tabs>
          <w:tab w:val="left" w:pos="0"/>
        </w:tabs>
        <w:ind w:left="22"/>
        <w:rPr>
          <w:rFonts w:cs="Arial"/>
          <w:b w:val="0"/>
          <w:szCs w:val="24"/>
        </w:rPr>
      </w:pPr>
      <w:r w:rsidRPr="00B9015C">
        <w:rPr>
          <w:rFonts w:cs="Arial"/>
          <w:b w:val="0"/>
          <w:szCs w:val="24"/>
        </w:rPr>
        <w:t>7.2</w:t>
      </w:r>
      <w:r w:rsidRPr="00B9015C">
        <w:rPr>
          <w:rFonts w:cs="Arial"/>
          <w:b w:val="0"/>
          <w:szCs w:val="24"/>
        </w:rPr>
        <w:tab/>
        <w:t>As with reasonable adjustments, alternative assessment arrangements must be reasonable and take account of the principles of equity and parity of assessment practice.</w:t>
      </w:r>
      <w:r w:rsidRPr="00B9015C">
        <w:rPr>
          <w:rFonts w:cs="Arial"/>
          <w:b w:val="0"/>
          <w:szCs w:val="24"/>
        </w:rPr>
        <w:br/>
      </w:r>
    </w:p>
    <w:p w:rsidRPr="00B9015C" w:rsidR="00B9015C" w:rsidP="00B9015C" w:rsidRDefault="00B9015C" w14:paraId="05A312D1" w14:textId="77777777">
      <w:pPr>
        <w:widowControl w:val="0"/>
        <w:numPr>
          <w:ilvl w:val="1"/>
          <w:numId w:val="14"/>
        </w:numPr>
        <w:tabs>
          <w:tab w:val="left" w:pos="0"/>
        </w:tabs>
        <w:autoSpaceDE w:val="0"/>
        <w:autoSpaceDN w:val="0"/>
        <w:ind w:left="0" w:firstLine="0"/>
        <w:rPr>
          <w:rFonts w:eastAsia="Calibri" w:cs="Arial"/>
          <w:b w:val="0"/>
          <w:szCs w:val="24"/>
          <w:lang w:eastAsia="en-GB" w:bidi="en-GB"/>
        </w:rPr>
      </w:pPr>
      <w:r w:rsidRPr="00B9015C">
        <w:rPr>
          <w:rFonts w:eastAsia="Calibri" w:cs="Arial"/>
          <w:b w:val="0"/>
          <w:szCs w:val="24"/>
          <w:lang w:eastAsia="en-GB" w:bidi="en-GB"/>
        </w:rPr>
        <w:t>Alternative arrangements, for example a written rather than an oral presentation or vice versa, or a poster or video as an alternative to a written report, should be requested by the student and discussed initially with a Disability Adviser before further discussion and approval by the module and/or course leader.</w:t>
      </w:r>
    </w:p>
    <w:p w:rsidR="00AA4A29" w:rsidRDefault="00AA4A29" w14:paraId="32D17773" w14:textId="1875299B">
      <w:pPr>
        <w:rPr>
          <w:rFonts w:cs="Arial"/>
          <w:szCs w:val="24"/>
        </w:rPr>
      </w:pPr>
      <w:r>
        <w:rPr>
          <w:rFonts w:cs="Arial"/>
          <w:szCs w:val="24"/>
        </w:rPr>
        <w:br w:type="page"/>
      </w:r>
    </w:p>
    <w:p w:rsidRPr="009F224D" w:rsidR="00B9015C" w:rsidP="009F224D" w:rsidRDefault="00B9015C" w14:paraId="2086DB9D" w14:textId="325CFF99">
      <w:pPr>
        <w:widowControl w:val="0"/>
        <w:autoSpaceDE w:val="0"/>
        <w:autoSpaceDN w:val="0"/>
        <w:spacing w:before="203"/>
        <w:outlineLvl w:val="1"/>
        <w:rPr>
          <w:rFonts w:eastAsia="Cambria" w:cs="Arial"/>
          <w:color w:val="000000" w:themeColor="text1"/>
          <w:szCs w:val="24"/>
          <w:lang w:eastAsia="en-GB" w:bidi="en-GB"/>
        </w:rPr>
      </w:pPr>
      <w:bookmarkStart w:name="_Toc79151267" w:id="13"/>
      <w:r w:rsidRPr="009F224D">
        <w:rPr>
          <w:rFonts w:eastAsia="Cambria" w:cs="Arial"/>
          <w:color w:val="000000" w:themeColor="text1"/>
          <w:szCs w:val="24"/>
          <w:lang w:eastAsia="en-GB" w:bidi="en-GB"/>
        </w:rPr>
        <w:lastRenderedPageBreak/>
        <w:t>Procedures</w:t>
      </w:r>
      <w:bookmarkEnd w:id="13"/>
      <w:r w:rsidRPr="009F224D">
        <w:rPr>
          <w:rFonts w:eastAsia="Cambria" w:cs="Arial"/>
          <w:color w:val="000000" w:themeColor="text1"/>
          <w:szCs w:val="24"/>
          <w:lang w:eastAsia="en-GB" w:bidi="en-GB"/>
        </w:rPr>
        <w:br/>
      </w:r>
    </w:p>
    <w:p w:rsidRPr="00B9015C" w:rsidR="00B9015C" w:rsidP="00B9015C" w:rsidRDefault="00B9015C" w14:paraId="70A3CD1B" w14:textId="77777777">
      <w:pPr>
        <w:keepNext/>
        <w:keepLines/>
        <w:numPr>
          <w:ilvl w:val="0"/>
          <w:numId w:val="14"/>
        </w:numPr>
        <w:spacing w:before="40"/>
        <w:ind w:left="709" w:hanging="709"/>
        <w:outlineLvl w:val="2"/>
        <w:rPr>
          <w:rFonts w:eastAsia="Cambria" w:cs="Arial"/>
          <w:color w:val="000000" w:themeColor="text1"/>
          <w:szCs w:val="24"/>
          <w:lang w:eastAsia="en-GB" w:bidi="en-GB"/>
        </w:rPr>
      </w:pPr>
      <w:bookmarkStart w:name="_Toc79151268" w:id="14"/>
      <w:r w:rsidRPr="00B9015C">
        <w:rPr>
          <w:rFonts w:eastAsia="Cambria" w:cs="Arial"/>
          <w:color w:val="000000" w:themeColor="text1"/>
          <w:szCs w:val="24"/>
          <w:lang w:eastAsia="en-GB" w:bidi="en-GB"/>
        </w:rPr>
        <w:t>Requesting and Approving Alternative Arrangements</w:t>
      </w:r>
      <w:bookmarkEnd w:id="14"/>
    </w:p>
    <w:p w:rsidRPr="00B9015C" w:rsidR="00B9015C" w:rsidP="00B9015C" w:rsidRDefault="00B9015C" w14:paraId="5700720E" w14:textId="77777777">
      <w:pPr>
        <w:widowControl w:val="0"/>
        <w:autoSpaceDE w:val="0"/>
        <w:autoSpaceDN w:val="0"/>
        <w:ind w:left="375"/>
        <w:rPr>
          <w:rFonts w:ascii="Calibri" w:hAnsi="Calibri" w:eastAsia="Calibri" w:cs="Calibri"/>
          <w:lang w:eastAsia="en-GB" w:bidi="en-GB"/>
        </w:rPr>
      </w:pPr>
    </w:p>
    <w:p w:rsidRPr="00B9015C" w:rsidR="00B9015C" w:rsidP="00B9015C" w:rsidRDefault="00B9015C" w14:paraId="472456A2" w14:textId="77777777">
      <w:pPr>
        <w:rPr>
          <w:rFonts w:eastAsia="Calibri" w:cs="Arial"/>
          <w:b w:val="0"/>
          <w:szCs w:val="24"/>
        </w:rPr>
      </w:pPr>
      <w:r w:rsidRPr="00B9015C">
        <w:rPr>
          <w:rFonts w:eastAsia="Calibri" w:cs="Arial"/>
          <w:b w:val="0"/>
          <w:szCs w:val="24"/>
        </w:rPr>
        <w:t>8.1</w:t>
      </w:r>
      <w:r w:rsidRPr="00B9015C">
        <w:rPr>
          <w:rFonts w:eastAsia="Calibri" w:cs="Arial"/>
          <w:b w:val="0"/>
          <w:szCs w:val="24"/>
        </w:rPr>
        <w:tab/>
        <w:t xml:space="preserve">Students requesting alternative assessment arrangements should first discuss their needs with a Disability Adviser in the Disability and Dyslexia Service. </w:t>
      </w:r>
    </w:p>
    <w:p w:rsidRPr="00B9015C" w:rsidR="00B9015C" w:rsidP="00B9015C" w:rsidRDefault="00B9015C" w14:paraId="581C4CA2" w14:textId="77777777">
      <w:pPr>
        <w:rPr>
          <w:rFonts w:eastAsia="Calibri" w:cs="Arial"/>
          <w:b w:val="0"/>
          <w:szCs w:val="24"/>
        </w:rPr>
      </w:pPr>
    </w:p>
    <w:p w:rsidRPr="00B9015C" w:rsidR="00B9015C" w:rsidP="00B9015C" w:rsidRDefault="00B9015C" w14:paraId="50B4BD24" w14:textId="77777777">
      <w:pPr>
        <w:rPr>
          <w:rFonts w:eastAsia="Calibri" w:cs="Arial"/>
          <w:b w:val="0"/>
          <w:szCs w:val="24"/>
        </w:rPr>
      </w:pPr>
      <w:bookmarkStart w:name="_Hlk29377780" w:id="15"/>
      <w:r w:rsidRPr="00B9015C">
        <w:rPr>
          <w:rFonts w:eastAsia="Calibri" w:cs="Arial"/>
          <w:b w:val="0"/>
          <w:szCs w:val="24"/>
        </w:rPr>
        <w:t>8.2</w:t>
      </w:r>
      <w:r w:rsidRPr="00B9015C">
        <w:rPr>
          <w:rFonts w:eastAsia="Calibri" w:cs="Arial"/>
          <w:b w:val="0"/>
          <w:szCs w:val="24"/>
        </w:rPr>
        <w:tab/>
        <w:t>Documentary evidence (medical or specialist) will normally be expected to support the request.  This evidence should normally be no more than two years old at the time of the student making an initial application for alternative assessment arrangements.  Disability Advisers can advise on the need for evidence, and what is acceptable.</w:t>
      </w:r>
    </w:p>
    <w:bookmarkEnd w:id="15"/>
    <w:p w:rsidRPr="00B9015C" w:rsidR="00B9015C" w:rsidP="00B9015C" w:rsidRDefault="00B9015C" w14:paraId="40C8E332" w14:textId="77777777">
      <w:pPr>
        <w:rPr>
          <w:rFonts w:eastAsia="Calibri" w:cs="Arial"/>
          <w:b w:val="0"/>
          <w:szCs w:val="24"/>
        </w:rPr>
      </w:pPr>
    </w:p>
    <w:p w:rsidRPr="00B9015C" w:rsidR="00B9015C" w:rsidP="00B9015C" w:rsidRDefault="00B9015C" w14:paraId="75C0DC30" w14:textId="77777777">
      <w:pPr>
        <w:rPr>
          <w:rFonts w:eastAsia="Calibri" w:cs="Arial"/>
          <w:b w:val="0"/>
          <w:szCs w:val="24"/>
        </w:rPr>
      </w:pPr>
      <w:r w:rsidRPr="00B9015C">
        <w:rPr>
          <w:rFonts w:eastAsia="Calibri" w:cs="Arial"/>
          <w:b w:val="0"/>
          <w:szCs w:val="24"/>
        </w:rPr>
        <w:t>8.3</w:t>
      </w:r>
      <w:r w:rsidRPr="00B9015C">
        <w:rPr>
          <w:rFonts w:eastAsia="Calibri" w:cs="Arial"/>
          <w:b w:val="0"/>
          <w:szCs w:val="24"/>
        </w:rPr>
        <w:tab/>
        <w:t>Students must normally apply for alternative assessment arrangements at least four weeks before the date of the assessment.  Late applications will not normally be considered unless directly related to the individual’s impairment, although due consideration will be given to individual circumstances.</w:t>
      </w:r>
    </w:p>
    <w:p w:rsidRPr="00B9015C" w:rsidR="00B9015C" w:rsidP="00B9015C" w:rsidRDefault="00B9015C" w14:paraId="02CC1447" w14:textId="77777777">
      <w:pPr>
        <w:rPr>
          <w:rFonts w:eastAsia="Calibri" w:cs="Arial"/>
          <w:b w:val="0"/>
          <w:szCs w:val="24"/>
        </w:rPr>
      </w:pPr>
    </w:p>
    <w:p w:rsidRPr="00B9015C" w:rsidR="00B9015C" w:rsidP="00B9015C" w:rsidRDefault="00B9015C" w14:paraId="6A329E90" w14:textId="12565D29">
      <w:pPr>
        <w:rPr>
          <w:rFonts w:eastAsia="Calibri" w:cs="Arial"/>
          <w:b w:val="0"/>
          <w:szCs w:val="24"/>
        </w:rPr>
      </w:pPr>
      <w:r w:rsidRPr="00B9015C">
        <w:rPr>
          <w:rFonts w:eastAsia="Calibri" w:cs="Arial"/>
          <w:b w:val="0"/>
          <w:szCs w:val="24"/>
        </w:rPr>
        <w:t>8.4</w:t>
      </w:r>
      <w:r w:rsidRPr="00B9015C">
        <w:rPr>
          <w:rFonts w:eastAsia="Calibri" w:cs="Arial"/>
          <w:b w:val="0"/>
          <w:szCs w:val="24"/>
        </w:rPr>
        <w:tab/>
        <w:t>The Disability Adviser will complete</w:t>
      </w:r>
      <w:r w:rsidR="00183E73">
        <w:rPr>
          <w:rFonts w:eastAsia="Calibri" w:cs="Arial"/>
          <w:b w:val="0"/>
          <w:szCs w:val="24"/>
        </w:rPr>
        <w:t xml:space="preserve"> the </w:t>
      </w:r>
      <w:r w:rsidRPr="00EB35C3" w:rsidR="00183E73">
        <w:rPr>
          <w:rFonts w:eastAsia="Calibri" w:cs="Arial"/>
          <w:b w:val="0"/>
          <w:szCs w:val="24"/>
          <w:highlight w:val="yellow"/>
        </w:rPr>
        <w:t>Reasonable Adjustment Plan (RAP)</w:t>
      </w:r>
      <w:r w:rsidRPr="00B9015C">
        <w:rPr>
          <w:rFonts w:eastAsia="Calibri" w:cs="Arial"/>
          <w:b w:val="0"/>
          <w:szCs w:val="24"/>
        </w:rPr>
        <w:t xml:space="preserve"> and retain a copy of the documentary evidence to accompany the form, which will be held on the student’s file.  Copies of completed </w:t>
      </w:r>
      <w:r w:rsidRPr="00EB35C3" w:rsidR="00EB35C3">
        <w:rPr>
          <w:rFonts w:eastAsia="Calibri" w:cs="Arial"/>
          <w:b w:val="0"/>
          <w:szCs w:val="24"/>
          <w:highlight w:val="yellow"/>
        </w:rPr>
        <w:t>RAP</w:t>
      </w:r>
      <w:r w:rsidRPr="00B9015C">
        <w:rPr>
          <w:rFonts w:eastAsia="Calibri" w:cs="Arial"/>
          <w:b w:val="0"/>
          <w:szCs w:val="24"/>
        </w:rPr>
        <w:t xml:space="preserve"> will be forwarded to the student, and details will be posted on the SOLE-based class lists which can be accessed by course and module leaders and the Examinations Officer.</w:t>
      </w:r>
    </w:p>
    <w:p w:rsidRPr="00B9015C" w:rsidR="00B9015C" w:rsidP="00B9015C" w:rsidRDefault="00B9015C" w14:paraId="32F9F20D" w14:textId="77777777">
      <w:pPr>
        <w:rPr>
          <w:rFonts w:eastAsia="Calibri" w:cs="Arial"/>
          <w:b w:val="0"/>
          <w:szCs w:val="24"/>
        </w:rPr>
      </w:pPr>
    </w:p>
    <w:p w:rsidRPr="00B9015C" w:rsidR="00B9015C" w:rsidP="00B9015C" w:rsidRDefault="00B9015C" w14:paraId="39C7B13E" w14:textId="77777777">
      <w:pPr>
        <w:rPr>
          <w:rFonts w:eastAsia="Calibri" w:cs="Arial"/>
          <w:b w:val="0"/>
          <w:szCs w:val="24"/>
        </w:rPr>
      </w:pPr>
      <w:r w:rsidRPr="00B9015C">
        <w:rPr>
          <w:rFonts w:eastAsia="Calibri" w:cs="Arial"/>
          <w:b w:val="0"/>
          <w:szCs w:val="24"/>
        </w:rPr>
        <w:t>8.5</w:t>
      </w:r>
      <w:r w:rsidRPr="00B9015C">
        <w:rPr>
          <w:rFonts w:eastAsia="Calibri" w:cs="Arial"/>
          <w:b w:val="0"/>
          <w:szCs w:val="24"/>
        </w:rPr>
        <w:tab/>
        <w:t xml:space="preserve">Students should discuss their alternative assessment needs with their course and/or module leader(s), who may consult with the Disability and Dyslexia Service.  Requests for alternative assessment arrangements will normally be agreed between the student, the Disability Adviser and the course or module leader. </w:t>
      </w:r>
    </w:p>
    <w:p w:rsidRPr="00B9015C" w:rsidR="00B9015C" w:rsidP="00B9015C" w:rsidRDefault="00B9015C" w14:paraId="3CE76D2B" w14:textId="77777777">
      <w:pPr>
        <w:rPr>
          <w:rFonts w:eastAsia="Calibri" w:cs="Arial"/>
          <w:b w:val="0"/>
          <w:szCs w:val="24"/>
        </w:rPr>
      </w:pPr>
    </w:p>
    <w:p w:rsidRPr="00B9015C" w:rsidR="00B9015C" w:rsidP="00B9015C" w:rsidRDefault="00B9015C" w14:paraId="1553D5B4" w14:textId="77777777">
      <w:pPr>
        <w:rPr>
          <w:rFonts w:eastAsia="Calibri" w:cs="Arial"/>
          <w:b w:val="0"/>
          <w:szCs w:val="24"/>
        </w:rPr>
      </w:pPr>
      <w:r w:rsidRPr="00B9015C">
        <w:rPr>
          <w:rFonts w:eastAsia="Calibri" w:cs="Arial"/>
          <w:b w:val="0"/>
          <w:szCs w:val="24"/>
        </w:rPr>
        <w:t>8.6</w:t>
      </w:r>
      <w:r w:rsidRPr="00B9015C">
        <w:rPr>
          <w:rFonts w:eastAsia="Calibri" w:cs="Arial"/>
          <w:b w:val="0"/>
          <w:szCs w:val="24"/>
        </w:rPr>
        <w:tab/>
        <w:t xml:space="preserve">Placements may require different adjustments to those made for academic study. Students should initially talk to the person responsible for arranging the placement about their needs, making reference to their </w:t>
      </w:r>
      <w:proofErr w:type="gramStart"/>
      <w:r w:rsidRPr="00B9015C">
        <w:rPr>
          <w:rFonts w:eastAsia="Calibri" w:cs="Arial"/>
          <w:b w:val="0"/>
          <w:szCs w:val="24"/>
        </w:rPr>
        <w:t>University</w:t>
      </w:r>
      <w:proofErr w:type="gramEnd"/>
      <w:r w:rsidRPr="00B9015C">
        <w:rPr>
          <w:rFonts w:eastAsia="Calibri" w:cs="Arial"/>
          <w:b w:val="0"/>
          <w:szCs w:val="24"/>
        </w:rPr>
        <w:t xml:space="preserve"> entitlements. A Disability Adviser may be able to offer additional advice should this be required.</w:t>
      </w:r>
    </w:p>
    <w:p w:rsidRPr="00B9015C" w:rsidR="00B9015C" w:rsidP="00B9015C" w:rsidRDefault="00B9015C" w14:paraId="4C3A0E04" w14:textId="77777777">
      <w:pPr>
        <w:rPr>
          <w:rFonts w:eastAsia="Calibri" w:cs="Arial"/>
          <w:b w:val="0"/>
          <w:szCs w:val="24"/>
        </w:rPr>
      </w:pPr>
    </w:p>
    <w:p w:rsidRPr="00B9015C" w:rsidR="00B9015C" w:rsidP="00B9015C" w:rsidRDefault="00B9015C" w14:paraId="6A388F0F" w14:textId="77777777">
      <w:pPr>
        <w:widowControl w:val="0"/>
        <w:tabs>
          <w:tab w:val="left" w:pos="0"/>
        </w:tabs>
        <w:autoSpaceDE w:val="0"/>
        <w:autoSpaceDN w:val="0"/>
        <w:rPr>
          <w:rFonts w:eastAsia="Calibri" w:cs="Arial"/>
          <w:b w:val="0"/>
          <w:szCs w:val="24"/>
          <w:lang w:eastAsia="en-GB" w:bidi="en-GB"/>
        </w:rPr>
      </w:pPr>
      <w:r w:rsidRPr="00700B41">
        <w:rPr>
          <w:rFonts w:eastAsia="Calibri" w:cs="Arial"/>
          <w:b w:val="0"/>
          <w:szCs w:val="24"/>
          <w:lang w:eastAsia="en-GB" w:bidi="en-GB"/>
        </w:rPr>
        <w:t>8.7</w:t>
      </w:r>
      <w:r w:rsidRPr="00700B41">
        <w:rPr>
          <w:rFonts w:eastAsia="Calibri" w:cs="Arial"/>
          <w:b w:val="0"/>
          <w:szCs w:val="24"/>
          <w:lang w:eastAsia="en-GB" w:bidi="en-GB"/>
        </w:rPr>
        <w:tab/>
        <w:t>In the event that appropriate reasonable adjustments or alternative arrangements cannot be agreed between the student, Disability Advisor and the module or course leader, the matter will be referred to the Head of Department, Head of the Disability and Dyslexia Service and the College Director LTQE who will reach a decision having taken appropriate advice as necessary.</w:t>
      </w:r>
      <w:r w:rsidRPr="00B9015C">
        <w:rPr>
          <w:rFonts w:eastAsia="Calibri" w:cs="Arial"/>
          <w:b w:val="0"/>
          <w:szCs w:val="24"/>
          <w:lang w:eastAsia="en-GB" w:bidi="en-GB"/>
        </w:rPr>
        <w:t xml:space="preserve"> </w:t>
      </w:r>
    </w:p>
    <w:p w:rsidRPr="00B9015C" w:rsidR="00B9015C" w:rsidP="00B9015C" w:rsidRDefault="00B9015C" w14:paraId="16D529F6" w14:textId="77777777">
      <w:pPr>
        <w:rPr>
          <w:rFonts w:eastAsia="Calibri" w:cs="Arial"/>
          <w:b w:val="0"/>
          <w:szCs w:val="24"/>
        </w:rPr>
      </w:pPr>
    </w:p>
    <w:p w:rsidRPr="00B9015C" w:rsidR="00B9015C" w:rsidP="00B9015C" w:rsidRDefault="00B9015C" w14:paraId="0AB79158" w14:textId="77777777">
      <w:pPr>
        <w:keepNext/>
        <w:keepLines/>
        <w:numPr>
          <w:ilvl w:val="0"/>
          <w:numId w:val="14"/>
        </w:numPr>
        <w:spacing w:before="40"/>
        <w:outlineLvl w:val="2"/>
        <w:rPr>
          <w:rFonts w:cs="Arial" w:eastAsiaTheme="majorEastAsia"/>
          <w:color w:val="000000" w:themeColor="text1"/>
          <w:szCs w:val="24"/>
        </w:rPr>
      </w:pPr>
      <w:r w:rsidRPr="00B9015C">
        <w:rPr>
          <w:rFonts w:cs="Arial" w:eastAsiaTheme="majorEastAsia"/>
          <w:color w:val="000000" w:themeColor="text1"/>
          <w:szCs w:val="24"/>
        </w:rPr>
        <w:tab/>
      </w:r>
      <w:bookmarkStart w:name="_Toc79151269" w:id="16"/>
      <w:r w:rsidRPr="00B9015C">
        <w:rPr>
          <w:rFonts w:cs="Arial" w:eastAsiaTheme="majorEastAsia"/>
          <w:color w:val="000000" w:themeColor="text1"/>
          <w:szCs w:val="24"/>
        </w:rPr>
        <w:t>Examination and Test Arrangements</w:t>
      </w:r>
      <w:bookmarkEnd w:id="16"/>
    </w:p>
    <w:p w:rsidRPr="00B9015C" w:rsidR="00B9015C" w:rsidP="00B9015C" w:rsidRDefault="00B9015C" w14:paraId="3F4FA1AE" w14:textId="77777777">
      <w:pPr>
        <w:rPr>
          <w:rFonts w:eastAsia="Calibri" w:cs="Arial"/>
          <w:b w:val="0"/>
          <w:szCs w:val="24"/>
        </w:rPr>
      </w:pPr>
    </w:p>
    <w:p w:rsidRPr="00B9015C" w:rsidR="00B9015C" w:rsidP="00B9015C" w:rsidRDefault="00B9015C" w14:paraId="6CFA5957" w14:textId="3BC5CC9F">
      <w:pPr>
        <w:rPr>
          <w:rFonts w:eastAsia="Calibri" w:cs="Arial"/>
          <w:b w:val="0"/>
          <w:szCs w:val="24"/>
        </w:rPr>
      </w:pPr>
      <w:r w:rsidRPr="00B9015C">
        <w:rPr>
          <w:rFonts w:eastAsia="Calibri" w:cs="Arial"/>
          <w:b w:val="0"/>
          <w:szCs w:val="24"/>
        </w:rPr>
        <w:t>9.1</w:t>
      </w:r>
      <w:r w:rsidRPr="00B9015C">
        <w:rPr>
          <w:rFonts w:eastAsia="Calibri" w:cs="Arial"/>
          <w:b w:val="0"/>
          <w:szCs w:val="24"/>
        </w:rPr>
        <w:tab/>
        <w:t xml:space="preserve">Students should present a copy of the completed </w:t>
      </w:r>
      <w:r w:rsidRPr="00EB35C3" w:rsidR="00EB35C3">
        <w:rPr>
          <w:rFonts w:eastAsia="Calibri" w:cs="Arial"/>
          <w:b w:val="0"/>
          <w:szCs w:val="24"/>
          <w:highlight w:val="yellow"/>
        </w:rPr>
        <w:t>RAP</w:t>
      </w:r>
      <w:r w:rsidRPr="00B9015C">
        <w:rPr>
          <w:rFonts w:eastAsia="Calibri" w:cs="Arial"/>
          <w:b w:val="0"/>
          <w:szCs w:val="24"/>
        </w:rPr>
        <w:t xml:space="preserve"> to module leaders in respect of class tests – this must be done in good time, and in any case normally at least four weeks before the date of the class test.</w:t>
      </w:r>
    </w:p>
    <w:p w:rsidRPr="00B9015C" w:rsidR="00B9015C" w:rsidP="00B9015C" w:rsidRDefault="00B9015C" w14:paraId="5B42433C" w14:textId="77777777">
      <w:pPr>
        <w:rPr>
          <w:rFonts w:eastAsia="Calibri" w:cs="Arial"/>
          <w:b w:val="0"/>
          <w:szCs w:val="24"/>
        </w:rPr>
      </w:pPr>
    </w:p>
    <w:p w:rsidRPr="00B9015C" w:rsidR="00B9015C" w:rsidP="00B9015C" w:rsidRDefault="00B9015C" w14:paraId="181A2C8A" w14:textId="77777777">
      <w:pPr>
        <w:rPr>
          <w:rFonts w:eastAsia="Times New Roman" w:cs="Arial"/>
          <w:b w:val="0"/>
          <w:szCs w:val="24"/>
          <w:lang w:eastAsia="en-GB"/>
        </w:rPr>
      </w:pPr>
      <w:r w:rsidRPr="00B9015C">
        <w:rPr>
          <w:rFonts w:eastAsia="Times New Roman" w:cs="Arial"/>
          <w:b w:val="0"/>
          <w:szCs w:val="24"/>
          <w:lang w:eastAsia="en-GB"/>
        </w:rPr>
        <w:t>9.2</w:t>
      </w:r>
      <w:r w:rsidRPr="00B9015C">
        <w:rPr>
          <w:rFonts w:eastAsia="Times New Roman" w:cs="Arial"/>
          <w:b w:val="0"/>
          <w:szCs w:val="24"/>
          <w:lang w:eastAsia="en-GB"/>
        </w:rPr>
        <w:tab/>
        <w:t xml:space="preserve">Where an allocation of extra time for </w:t>
      </w:r>
      <w:proofErr w:type="gramStart"/>
      <w:r w:rsidRPr="00B9015C">
        <w:rPr>
          <w:rFonts w:eastAsia="Times New Roman" w:cs="Arial"/>
          <w:b w:val="0"/>
          <w:szCs w:val="24"/>
          <w:lang w:eastAsia="en-GB"/>
        </w:rPr>
        <w:t>University</w:t>
      </w:r>
      <w:proofErr w:type="gramEnd"/>
      <w:r w:rsidRPr="00B9015C">
        <w:rPr>
          <w:rFonts w:eastAsia="Times New Roman" w:cs="Arial"/>
          <w:b w:val="0"/>
          <w:szCs w:val="24"/>
          <w:lang w:eastAsia="en-GB"/>
        </w:rPr>
        <w:t xml:space="preserve"> examinations is agreed, this will normally be 15 minutes per hour (or 25%) unless a different amount is deemed necessary on the basis of independent evidence in individual circumstances.  Where extra time is agreed for </w:t>
      </w:r>
      <w:proofErr w:type="gramStart"/>
      <w:r w:rsidRPr="00B9015C">
        <w:rPr>
          <w:rFonts w:eastAsia="Times New Roman" w:cs="Arial"/>
          <w:b w:val="0"/>
          <w:szCs w:val="24"/>
          <w:lang w:eastAsia="en-GB"/>
        </w:rPr>
        <w:t>students</w:t>
      </w:r>
      <w:proofErr w:type="gramEnd"/>
      <w:r w:rsidRPr="00B9015C">
        <w:rPr>
          <w:rFonts w:eastAsia="Times New Roman" w:cs="Arial"/>
          <w:b w:val="0"/>
          <w:szCs w:val="24"/>
          <w:lang w:eastAsia="en-GB"/>
        </w:rPr>
        <w:t xml:space="preserve"> this should also be allocated for class tests as well as more formal examinations.</w:t>
      </w:r>
    </w:p>
    <w:p w:rsidRPr="00B9015C" w:rsidR="00B9015C" w:rsidP="00B9015C" w:rsidRDefault="00B9015C" w14:paraId="3F2B7882" w14:textId="77777777">
      <w:pPr>
        <w:rPr>
          <w:rFonts w:eastAsia="Times New Roman" w:cs="Arial"/>
          <w:b w:val="0"/>
          <w:szCs w:val="24"/>
          <w:lang w:eastAsia="en-GB"/>
        </w:rPr>
      </w:pPr>
    </w:p>
    <w:p w:rsidRPr="00B9015C" w:rsidR="00B9015C" w:rsidP="00B9015C" w:rsidRDefault="00B9015C" w14:paraId="01BAECEB" w14:textId="77777777">
      <w:pPr>
        <w:rPr>
          <w:rFonts w:eastAsia="Times New Roman" w:cs="Arial"/>
          <w:b w:val="0"/>
          <w:color w:val="000000"/>
          <w:szCs w:val="24"/>
          <w:lang w:eastAsia="en-GB"/>
        </w:rPr>
      </w:pPr>
      <w:r w:rsidRPr="00B9015C">
        <w:rPr>
          <w:rFonts w:eastAsia="Times New Roman" w:cs="Arial"/>
          <w:b w:val="0"/>
          <w:szCs w:val="24"/>
          <w:lang w:eastAsia="en-GB"/>
        </w:rPr>
        <w:lastRenderedPageBreak/>
        <w:t>9.3</w:t>
      </w:r>
      <w:r w:rsidRPr="00B9015C">
        <w:rPr>
          <w:rFonts w:eastAsia="Times New Roman" w:cs="Arial"/>
          <w:b w:val="0"/>
          <w:szCs w:val="24"/>
          <w:lang w:eastAsia="en-GB"/>
        </w:rPr>
        <w:tab/>
      </w:r>
      <w:r w:rsidRPr="00B9015C">
        <w:rPr>
          <w:rFonts w:eastAsia="Times New Roman" w:cs="Arial"/>
          <w:b w:val="0"/>
          <w:color w:val="000000"/>
          <w:szCs w:val="24"/>
          <w:lang w:eastAsia="en-GB"/>
        </w:rPr>
        <w:t xml:space="preserve">In cases where an adjustment for </w:t>
      </w:r>
      <w:proofErr w:type="gramStart"/>
      <w:r w:rsidRPr="00B9015C">
        <w:rPr>
          <w:rFonts w:eastAsia="Times New Roman" w:cs="Arial"/>
          <w:b w:val="0"/>
          <w:color w:val="000000"/>
          <w:szCs w:val="24"/>
          <w:lang w:eastAsia="en-GB"/>
        </w:rPr>
        <w:t>University</w:t>
      </w:r>
      <w:proofErr w:type="gramEnd"/>
      <w:r w:rsidRPr="00B9015C">
        <w:rPr>
          <w:rFonts w:eastAsia="Times New Roman" w:cs="Arial"/>
          <w:b w:val="0"/>
          <w:color w:val="000000"/>
          <w:szCs w:val="24"/>
          <w:lang w:eastAsia="en-GB"/>
        </w:rPr>
        <w:t xml:space="preserve"> organised examinations is required, such as the use of a computer or use of an amanuensis, the necessary arrangements will be made by the Examinations Officer for the student to sit their examination(s) in a separate room from the main body of students. </w:t>
      </w:r>
    </w:p>
    <w:p w:rsidRPr="00B9015C" w:rsidR="00B9015C" w:rsidP="00B9015C" w:rsidRDefault="00B9015C" w14:paraId="7B1FB71A" w14:textId="77777777">
      <w:pPr>
        <w:rPr>
          <w:rFonts w:eastAsia="Times New Roman" w:cs="Arial"/>
          <w:b w:val="0"/>
          <w:szCs w:val="24"/>
          <w:lang w:eastAsia="en-GB"/>
        </w:rPr>
      </w:pPr>
    </w:p>
    <w:p w:rsidRPr="00B9015C" w:rsidR="00B9015C" w:rsidP="00B9015C" w:rsidRDefault="00B9015C" w14:paraId="0AC06872" w14:textId="77777777">
      <w:pPr>
        <w:rPr>
          <w:rFonts w:eastAsia="Times New Roman" w:cs="Arial"/>
          <w:b w:val="0"/>
          <w:szCs w:val="24"/>
          <w:lang w:eastAsia="en-GB"/>
        </w:rPr>
      </w:pPr>
      <w:r w:rsidRPr="00B9015C">
        <w:rPr>
          <w:rFonts w:eastAsia="Times New Roman" w:cs="Arial"/>
          <w:b w:val="0"/>
          <w:szCs w:val="24"/>
          <w:lang w:eastAsia="en-GB"/>
        </w:rPr>
        <w:t>9.4</w:t>
      </w:r>
      <w:r w:rsidRPr="00B9015C">
        <w:rPr>
          <w:rFonts w:eastAsia="Times New Roman" w:cs="Arial"/>
          <w:b w:val="0"/>
          <w:szCs w:val="24"/>
          <w:lang w:eastAsia="en-GB"/>
        </w:rPr>
        <w:tab/>
        <w:t xml:space="preserve">In other cases, eg class tests, the student's School will make the necessary arrangements, taking advice from the Examinations Officer and the Disability and Dyslexia Service as appropriate, on the organisation of the venue, </w:t>
      </w:r>
      <w:proofErr w:type="gramStart"/>
      <w:r w:rsidRPr="00B9015C">
        <w:rPr>
          <w:rFonts w:eastAsia="Times New Roman" w:cs="Arial"/>
          <w:b w:val="0"/>
          <w:szCs w:val="24"/>
          <w:lang w:eastAsia="en-GB"/>
        </w:rPr>
        <w:t>invigilation</w:t>
      </w:r>
      <w:proofErr w:type="gramEnd"/>
      <w:r w:rsidRPr="00B9015C">
        <w:rPr>
          <w:rFonts w:eastAsia="Times New Roman" w:cs="Arial"/>
          <w:b w:val="0"/>
          <w:szCs w:val="24"/>
          <w:lang w:eastAsia="en-GB"/>
        </w:rPr>
        <w:t xml:space="preserve"> and other practical arrangements for the student.  A student's support worker may not act as an invigilator for a student with whom they have a professional support role. However, support workers may be used as invigilators for those students with whom they have no relationship.</w:t>
      </w:r>
    </w:p>
    <w:p w:rsidRPr="00B9015C" w:rsidR="00B9015C" w:rsidP="00B9015C" w:rsidRDefault="00B9015C" w14:paraId="12739B88" w14:textId="77777777">
      <w:pPr>
        <w:rPr>
          <w:rFonts w:eastAsia="Times New Roman" w:cs="Arial"/>
          <w:b w:val="0"/>
          <w:szCs w:val="24"/>
          <w:lang w:eastAsia="en-GB"/>
        </w:rPr>
      </w:pPr>
    </w:p>
    <w:p w:rsidRPr="00B9015C" w:rsidR="00B9015C" w:rsidP="00B9015C" w:rsidRDefault="00B9015C" w14:paraId="78227A22" w14:textId="77777777">
      <w:pPr>
        <w:rPr>
          <w:rFonts w:eastAsia="Times New Roman" w:cs="Arial"/>
          <w:b w:val="0"/>
          <w:szCs w:val="24"/>
          <w:lang w:eastAsia="en-GB"/>
        </w:rPr>
      </w:pPr>
      <w:r w:rsidRPr="00B9015C">
        <w:rPr>
          <w:rFonts w:eastAsia="Times New Roman" w:cs="Arial"/>
          <w:b w:val="0"/>
          <w:szCs w:val="24"/>
          <w:lang w:eastAsia="en-GB"/>
        </w:rPr>
        <w:t>9.5</w:t>
      </w:r>
      <w:r w:rsidRPr="00B9015C">
        <w:rPr>
          <w:rFonts w:eastAsia="Times New Roman" w:cs="Arial"/>
          <w:b w:val="0"/>
          <w:szCs w:val="24"/>
          <w:lang w:eastAsia="en-GB"/>
        </w:rPr>
        <w:tab/>
        <w:t>It will be the responsibility of the invigilator(s) to ensure that examinations and tests involving students with disabilities are conducted in accordance with agreed alternative arrangements, including the allocation of extra time, and that as far as possible in other respects, the usual rules for the conduct of examinations are observed.</w:t>
      </w:r>
    </w:p>
    <w:p w:rsidR="00B9015C" w:rsidP="00B9015C" w:rsidRDefault="00B9015C" w14:paraId="5DB4605D" w14:textId="5FBCD395">
      <w:pPr>
        <w:rPr>
          <w:rFonts w:eastAsia="Times New Roman" w:cs="Arial"/>
          <w:b w:val="0"/>
          <w:szCs w:val="24"/>
          <w:lang w:eastAsia="en-GB"/>
        </w:rPr>
      </w:pPr>
    </w:p>
    <w:p w:rsidRPr="00B9015C" w:rsidR="009F224D" w:rsidP="00B9015C" w:rsidRDefault="009F224D" w14:paraId="6A0DEAFF" w14:textId="77777777">
      <w:pPr>
        <w:rPr>
          <w:rFonts w:eastAsia="Times New Roman" w:cs="Arial"/>
          <w:b w:val="0"/>
          <w:szCs w:val="24"/>
          <w:lang w:eastAsia="en-GB"/>
        </w:rPr>
      </w:pPr>
    </w:p>
    <w:p w:rsidRPr="00B9015C" w:rsidR="00B9015C" w:rsidP="00B9015C" w:rsidRDefault="00B9015C" w14:paraId="49460394" w14:textId="77777777">
      <w:pPr>
        <w:widowControl w:val="0"/>
        <w:autoSpaceDE w:val="0"/>
        <w:autoSpaceDN w:val="0"/>
        <w:outlineLvl w:val="1"/>
        <w:rPr>
          <w:rFonts w:eastAsia="Cambria" w:cs="Arial"/>
          <w:color w:val="000000" w:themeColor="text1"/>
          <w:szCs w:val="24"/>
          <w:lang w:eastAsia="en-GB" w:bidi="en-GB"/>
        </w:rPr>
      </w:pPr>
      <w:bookmarkStart w:name="_Toc79151270" w:id="17"/>
      <w:r w:rsidRPr="00B9015C">
        <w:rPr>
          <w:rFonts w:eastAsia="Cambria" w:cs="Arial"/>
          <w:color w:val="000000" w:themeColor="text1"/>
          <w:szCs w:val="24"/>
          <w:lang w:eastAsia="en-GB" w:bidi="en-GB"/>
        </w:rPr>
        <w:t>Related Policies, Documents or Webpages</w:t>
      </w:r>
      <w:bookmarkEnd w:id="17"/>
    </w:p>
    <w:p w:rsidRPr="00B9015C" w:rsidR="00B9015C" w:rsidP="00B9015C" w:rsidRDefault="00B9015C" w14:paraId="1E0410D2" w14:textId="77777777">
      <w:pPr>
        <w:widowControl w:val="0"/>
        <w:autoSpaceDE w:val="0"/>
        <w:autoSpaceDN w:val="0"/>
        <w:outlineLvl w:val="1"/>
        <w:rPr>
          <w:rFonts w:eastAsia="Cambria" w:cs="Arial"/>
          <w:color w:val="000000" w:themeColor="text1"/>
          <w:szCs w:val="24"/>
          <w:lang w:eastAsia="en-GB" w:bidi="en-GB"/>
        </w:rPr>
      </w:pPr>
    </w:p>
    <w:p w:rsidRPr="007C2437" w:rsidR="007C2437" w:rsidP="00FD53DA" w:rsidRDefault="007C2437" w14:paraId="10CE4414" w14:textId="096A2D65">
      <w:pPr>
        <w:rPr>
          <w:b w:val="0"/>
          <w:bCs/>
        </w:rPr>
      </w:pPr>
      <w:hyperlink w:history="1" r:id="rId15">
        <w:r w:rsidRPr="007C2437">
          <w:rPr>
            <w:rStyle w:val="Hyperlink"/>
            <w:b w:val="0"/>
            <w:bCs/>
          </w:rPr>
          <w:t>University Assessment Policy</w:t>
        </w:r>
      </w:hyperlink>
      <w:r>
        <w:rPr>
          <w:b w:val="0"/>
          <w:bCs/>
        </w:rPr>
        <w:t xml:space="preserve"> [accessed 6.8.2021]</w:t>
      </w:r>
    </w:p>
    <w:p w:rsidRPr="00B9015C" w:rsidR="00FD53DA" w:rsidP="00FD53DA" w:rsidRDefault="00000000" w14:paraId="76F69D8B" w14:textId="519D0B7B">
      <w:pPr>
        <w:rPr>
          <w:rFonts w:eastAsia="Calibri" w:cs="Arial"/>
          <w:b w:val="0"/>
          <w:szCs w:val="24"/>
          <w:lang w:eastAsia="en-GB" w:bidi="en-GB"/>
        </w:rPr>
      </w:pPr>
      <w:hyperlink w:history="1" r:id="rId16">
        <w:r w:rsidR="00FD53DA">
          <w:rPr>
            <w:rStyle w:val="Hyperlink"/>
            <w:b w:val="0"/>
          </w:rPr>
          <w:t>Staff guidance for inclusive assessments &amp; making reasonable adjustments</w:t>
        </w:r>
      </w:hyperlink>
      <w:proofErr w:type="gramStart"/>
      <w:r w:rsidR="00FD53DA">
        <w:rPr>
          <w:b w:val="0"/>
        </w:rPr>
        <w:t xml:space="preserve">   </w:t>
      </w:r>
      <w:r w:rsidRPr="00DF5C11" w:rsidR="00FD53DA">
        <w:rPr>
          <w:rFonts w:cs="Arial"/>
          <w:b w:val="0"/>
          <w:color w:val="000000" w:themeColor="text1"/>
        </w:rPr>
        <w:t>[</w:t>
      </w:r>
      <w:proofErr w:type="gramEnd"/>
      <w:r w:rsidRPr="00DF5C11" w:rsidR="00FD53DA">
        <w:rPr>
          <w:rFonts w:cs="Arial"/>
          <w:b w:val="0"/>
          <w:color w:val="000000" w:themeColor="text1"/>
        </w:rPr>
        <w:t>accessed 6.8.2021]</w:t>
      </w:r>
    </w:p>
    <w:p w:rsidRPr="00B9015C" w:rsidR="00B9015C" w:rsidP="00FD53DA" w:rsidRDefault="00000000" w14:paraId="43124752" w14:textId="26F235A6">
      <w:pPr>
        <w:rPr>
          <w:rFonts w:eastAsia="Calibri" w:cs="Arial"/>
          <w:b w:val="0"/>
          <w:szCs w:val="24"/>
          <w:lang w:eastAsia="en-GB" w:bidi="en-GB"/>
        </w:rPr>
      </w:pPr>
      <w:hyperlink w:history="1" r:id="rId17">
        <w:r w:rsidRPr="00B9015C" w:rsidR="00B9015C">
          <w:rPr>
            <w:rFonts w:eastAsia="Calibri" w:cs="Arial"/>
            <w:b w:val="0"/>
            <w:color w:val="0563C1"/>
            <w:szCs w:val="24"/>
            <w:u w:val="single"/>
            <w:lang w:eastAsia="en-GB" w:bidi="en-GB"/>
          </w:rPr>
          <w:t>Inclusion Toolkit</w:t>
        </w:r>
      </w:hyperlink>
      <w:r w:rsidRPr="00B9015C" w:rsidR="00B9015C">
        <w:rPr>
          <w:b w:val="0"/>
        </w:rPr>
        <w:t xml:space="preserve">, including section </w:t>
      </w:r>
      <w:hyperlink w:history="1" r:id="rId18">
        <w:r w:rsidRPr="00B9015C" w:rsidR="00B9015C">
          <w:rPr>
            <w:rFonts w:eastAsia="Calibri" w:cs="Arial"/>
            <w:b w:val="0"/>
            <w:color w:val="0563C1"/>
            <w:szCs w:val="24"/>
            <w:u w:val="single"/>
            <w:lang w:eastAsia="en-GB" w:bidi="en-GB"/>
          </w:rPr>
          <w:t>Assess Inclusively</w:t>
        </w:r>
      </w:hyperlink>
      <w:r w:rsidRPr="00B9015C" w:rsidR="00B9015C">
        <w:rPr>
          <w:rFonts w:eastAsia="Calibri" w:cs="Arial"/>
          <w:b w:val="0"/>
          <w:szCs w:val="24"/>
          <w:lang w:eastAsia="en-GB" w:bidi="en-GB"/>
        </w:rPr>
        <w:t xml:space="preserve"> and related guides</w:t>
      </w:r>
      <w:r w:rsidR="00DF5C11">
        <w:rPr>
          <w:rFonts w:eastAsia="Calibri" w:cs="Arial"/>
          <w:b w:val="0"/>
          <w:szCs w:val="24"/>
          <w:lang w:eastAsia="en-GB" w:bidi="en-GB"/>
        </w:rPr>
        <w:t xml:space="preserve"> </w:t>
      </w:r>
      <w:r w:rsidRPr="00DF5C11" w:rsidR="00DF5C11">
        <w:rPr>
          <w:rFonts w:cs="Arial"/>
          <w:b w:val="0"/>
          <w:color w:val="000000" w:themeColor="text1"/>
        </w:rPr>
        <w:t>[accessed 6.8.2021]</w:t>
      </w:r>
      <w:r w:rsidR="004456BB">
        <w:rPr>
          <w:rFonts w:eastAsia="Calibri" w:cs="Arial"/>
          <w:b w:val="0"/>
          <w:szCs w:val="24"/>
          <w:lang w:eastAsia="en-GB" w:bidi="en-GB"/>
        </w:rPr>
        <w:t>.</w:t>
      </w:r>
    </w:p>
    <w:p w:rsidR="00700B41" w:rsidP="00B9015C" w:rsidRDefault="00700B41" w14:paraId="4DA66827" w14:textId="03F68CE5">
      <w:pPr>
        <w:widowControl w:val="0"/>
        <w:autoSpaceDE w:val="0"/>
        <w:autoSpaceDN w:val="0"/>
        <w:rPr>
          <w:rFonts w:eastAsia="Calibri" w:cs="Arial"/>
          <w:b w:val="0"/>
          <w:szCs w:val="24"/>
          <w:lang w:eastAsia="en-GB" w:bidi="en-GB"/>
        </w:rPr>
      </w:pPr>
    </w:p>
    <w:p w:rsidRPr="00B9015C" w:rsidR="00B9015C" w:rsidP="00D45ABD" w:rsidRDefault="00B9015C" w14:paraId="4C8007B7" w14:textId="77777777">
      <w:pPr>
        <w:rPr>
          <w:lang w:eastAsia="en-GB" w:bidi="en-GB"/>
        </w:rPr>
      </w:pPr>
      <w:bookmarkStart w:name="_Toc27396613" w:id="18"/>
      <w:bookmarkStart w:name="_Toc29388418" w:id="19"/>
      <w:bookmarkStart w:name="_Toc29452725" w:id="20"/>
      <w:bookmarkStart w:name="_Toc30420791" w:id="21"/>
      <w:bookmarkStart w:name="_Toc45807305" w:id="22"/>
      <w:r w:rsidRPr="00B9015C">
        <w:rPr>
          <w:lang w:eastAsia="en-GB" w:bidi="en-GB"/>
        </w:rPr>
        <w:t>Approval/Review Table</w:t>
      </w:r>
      <w:bookmarkEnd w:id="18"/>
      <w:bookmarkEnd w:id="19"/>
      <w:bookmarkEnd w:id="20"/>
      <w:bookmarkEnd w:id="21"/>
      <w:bookmarkEnd w:id="22"/>
    </w:p>
    <w:p w:rsidRPr="00B9015C" w:rsidR="00B9015C" w:rsidP="00B9015C" w:rsidRDefault="00B9015C" w14:paraId="66B4D8F6" w14:textId="77777777">
      <w:pPr>
        <w:rPr>
          <w:szCs w:val="24"/>
        </w:rPr>
      </w:pPr>
    </w:p>
    <w:tbl>
      <w:tblPr>
        <w:tblW w:w="92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31"/>
        <w:gridCol w:w="5319"/>
      </w:tblGrid>
      <w:tr w:rsidRPr="00B9015C" w:rsidR="00B9015C" w:rsidTr="001706B3" w14:paraId="4A3B56E2" w14:textId="77777777">
        <w:trPr>
          <w:trHeight w:val="166"/>
        </w:trPr>
        <w:tc>
          <w:tcPr>
            <w:tcW w:w="3931" w:type="dxa"/>
          </w:tcPr>
          <w:p w:rsidRPr="00B9015C" w:rsidR="00B9015C" w:rsidP="00B9015C" w:rsidRDefault="00B9015C" w14:paraId="42F43B45" w14:textId="77777777">
            <w:pPr>
              <w:autoSpaceDE w:val="0"/>
              <w:autoSpaceDN w:val="0"/>
              <w:adjustRightInd w:val="0"/>
              <w:rPr>
                <w:rFonts w:cs="Arial"/>
                <w:b w:val="0"/>
                <w:color w:val="000000"/>
                <w:szCs w:val="24"/>
              </w:rPr>
            </w:pPr>
            <w:r w:rsidRPr="00B9015C">
              <w:rPr>
                <w:rFonts w:cs="Arial"/>
                <w:bCs/>
                <w:color w:val="000000"/>
                <w:szCs w:val="24"/>
              </w:rPr>
              <w:t xml:space="preserve">Item </w:t>
            </w:r>
          </w:p>
        </w:tc>
        <w:tc>
          <w:tcPr>
            <w:tcW w:w="5319" w:type="dxa"/>
          </w:tcPr>
          <w:p w:rsidRPr="00B9015C" w:rsidR="00B9015C" w:rsidP="00B9015C" w:rsidRDefault="00B9015C" w14:paraId="2E92A11B" w14:textId="77777777">
            <w:pPr>
              <w:autoSpaceDE w:val="0"/>
              <w:autoSpaceDN w:val="0"/>
              <w:adjustRightInd w:val="0"/>
              <w:rPr>
                <w:rFonts w:cs="Arial"/>
                <w:b w:val="0"/>
                <w:color w:val="000000"/>
                <w:szCs w:val="24"/>
              </w:rPr>
            </w:pPr>
            <w:r w:rsidRPr="00B9015C">
              <w:rPr>
                <w:rFonts w:cs="Arial"/>
                <w:bCs/>
                <w:color w:val="000000"/>
                <w:szCs w:val="24"/>
              </w:rPr>
              <w:t xml:space="preserve">Notes </w:t>
            </w:r>
          </w:p>
        </w:tc>
      </w:tr>
      <w:tr w:rsidRPr="00C65DB6" w:rsidR="00B9015C" w:rsidTr="001706B3" w14:paraId="3F6CA902" w14:textId="77777777">
        <w:trPr>
          <w:trHeight w:val="160"/>
        </w:trPr>
        <w:tc>
          <w:tcPr>
            <w:tcW w:w="3931" w:type="dxa"/>
          </w:tcPr>
          <w:p w:rsidRPr="00C65DB6" w:rsidR="00B9015C" w:rsidP="00B9015C" w:rsidRDefault="00B9015C" w14:paraId="61810047" w14:textId="77777777">
            <w:pPr>
              <w:autoSpaceDE w:val="0"/>
              <w:autoSpaceDN w:val="0"/>
              <w:adjustRightInd w:val="0"/>
              <w:rPr>
                <w:rFonts w:cs="Arial"/>
                <w:b w:val="0"/>
                <w:color w:val="000000" w:themeColor="text1"/>
                <w:szCs w:val="24"/>
              </w:rPr>
            </w:pPr>
            <w:r w:rsidRPr="00C65DB6">
              <w:rPr>
                <w:rFonts w:cs="Arial"/>
                <w:b w:val="0"/>
                <w:color w:val="000000" w:themeColor="text1"/>
                <w:szCs w:val="24"/>
              </w:rPr>
              <w:t xml:space="preserve">Version Number </w:t>
            </w:r>
          </w:p>
        </w:tc>
        <w:tc>
          <w:tcPr>
            <w:tcW w:w="5319" w:type="dxa"/>
          </w:tcPr>
          <w:p w:rsidRPr="00C65DB6" w:rsidR="00B9015C" w:rsidP="00B9015C" w:rsidRDefault="00AE74DC" w14:paraId="2CF49E61" w14:textId="36FD539A">
            <w:pPr>
              <w:autoSpaceDE w:val="0"/>
              <w:autoSpaceDN w:val="0"/>
              <w:adjustRightInd w:val="0"/>
              <w:rPr>
                <w:rFonts w:cs="Arial"/>
                <w:b w:val="0"/>
                <w:color w:val="000000" w:themeColor="text1"/>
                <w:szCs w:val="24"/>
              </w:rPr>
            </w:pPr>
            <w:r>
              <w:rPr>
                <w:rFonts w:cs="Arial"/>
                <w:b w:val="0"/>
                <w:color w:val="000000" w:themeColor="text1"/>
                <w:szCs w:val="24"/>
              </w:rPr>
              <w:t>4.2</w:t>
            </w:r>
          </w:p>
        </w:tc>
      </w:tr>
      <w:tr w:rsidRPr="00C65DB6" w:rsidR="00B9015C" w:rsidTr="001706B3" w14:paraId="384AB235" w14:textId="77777777">
        <w:trPr>
          <w:trHeight w:val="160"/>
        </w:trPr>
        <w:tc>
          <w:tcPr>
            <w:tcW w:w="3931" w:type="dxa"/>
          </w:tcPr>
          <w:p w:rsidRPr="00C65DB6" w:rsidR="00B9015C" w:rsidP="00B9015C" w:rsidRDefault="00B9015C" w14:paraId="469C8D4A" w14:textId="77777777">
            <w:pPr>
              <w:autoSpaceDE w:val="0"/>
              <w:autoSpaceDN w:val="0"/>
              <w:adjustRightInd w:val="0"/>
              <w:rPr>
                <w:rFonts w:cs="Arial"/>
                <w:b w:val="0"/>
                <w:color w:val="000000"/>
                <w:szCs w:val="24"/>
              </w:rPr>
            </w:pPr>
            <w:r w:rsidRPr="00C65DB6">
              <w:rPr>
                <w:rFonts w:cs="Arial"/>
                <w:b w:val="0"/>
                <w:color w:val="000000"/>
                <w:szCs w:val="24"/>
              </w:rPr>
              <w:t xml:space="preserve">Date of Approval </w:t>
            </w:r>
          </w:p>
        </w:tc>
        <w:tc>
          <w:tcPr>
            <w:tcW w:w="5319" w:type="dxa"/>
          </w:tcPr>
          <w:p w:rsidRPr="00C65DB6" w:rsidR="00B9015C" w:rsidP="00B9015C" w:rsidRDefault="00AA4A29" w14:paraId="7EE5285F" w14:textId="5AEFD83F">
            <w:pPr>
              <w:autoSpaceDE w:val="0"/>
              <w:autoSpaceDN w:val="0"/>
              <w:adjustRightInd w:val="0"/>
              <w:rPr>
                <w:rFonts w:cs="Arial"/>
                <w:b w:val="0"/>
                <w:color w:val="000000" w:themeColor="text1"/>
                <w:szCs w:val="24"/>
              </w:rPr>
            </w:pPr>
            <w:r w:rsidRPr="00C65DB6">
              <w:rPr>
                <w:rFonts w:cs="Arial"/>
                <w:b w:val="0"/>
                <w:color w:val="000000" w:themeColor="text1"/>
                <w:szCs w:val="24"/>
              </w:rPr>
              <w:t xml:space="preserve">June </w:t>
            </w:r>
            <w:r w:rsidRPr="00C65DB6" w:rsidR="00FA37D2">
              <w:rPr>
                <w:rFonts w:cs="Arial"/>
                <w:b w:val="0"/>
                <w:color w:val="000000" w:themeColor="text1"/>
                <w:szCs w:val="24"/>
              </w:rPr>
              <w:t>2021</w:t>
            </w:r>
          </w:p>
        </w:tc>
      </w:tr>
      <w:tr w:rsidRPr="00C65DB6" w:rsidR="00B9015C" w:rsidTr="001706B3" w14:paraId="6185A917" w14:textId="77777777">
        <w:trPr>
          <w:trHeight w:val="160"/>
        </w:trPr>
        <w:tc>
          <w:tcPr>
            <w:tcW w:w="3931" w:type="dxa"/>
          </w:tcPr>
          <w:p w:rsidRPr="00C65DB6" w:rsidR="00B9015C" w:rsidP="00B9015C" w:rsidRDefault="00B9015C" w14:paraId="24A37219" w14:textId="77777777">
            <w:pPr>
              <w:autoSpaceDE w:val="0"/>
              <w:autoSpaceDN w:val="0"/>
              <w:adjustRightInd w:val="0"/>
              <w:rPr>
                <w:rFonts w:cs="Arial"/>
                <w:b w:val="0"/>
                <w:color w:val="000000"/>
                <w:szCs w:val="24"/>
              </w:rPr>
            </w:pPr>
            <w:r w:rsidRPr="00C65DB6">
              <w:rPr>
                <w:rFonts w:cs="Arial"/>
                <w:b w:val="0"/>
                <w:color w:val="000000"/>
                <w:szCs w:val="24"/>
              </w:rPr>
              <w:t xml:space="preserve">Approved by </w:t>
            </w:r>
          </w:p>
        </w:tc>
        <w:tc>
          <w:tcPr>
            <w:tcW w:w="5319" w:type="dxa"/>
          </w:tcPr>
          <w:p w:rsidRPr="00C65DB6" w:rsidR="00B9015C" w:rsidP="00B9015C" w:rsidRDefault="00AA4A29" w14:paraId="2D5CF091" w14:textId="17CBA8BE">
            <w:pPr>
              <w:autoSpaceDE w:val="0"/>
              <w:autoSpaceDN w:val="0"/>
              <w:adjustRightInd w:val="0"/>
              <w:rPr>
                <w:rFonts w:cs="Arial"/>
                <w:b w:val="0"/>
                <w:color w:val="000000" w:themeColor="text1"/>
                <w:szCs w:val="24"/>
              </w:rPr>
            </w:pPr>
            <w:r w:rsidRPr="00C65DB6">
              <w:rPr>
                <w:rFonts w:cs="Arial"/>
                <w:b w:val="0"/>
                <w:color w:val="000000" w:themeColor="text1"/>
                <w:szCs w:val="24"/>
              </w:rPr>
              <w:t>LTSEC</w:t>
            </w:r>
          </w:p>
        </w:tc>
      </w:tr>
      <w:tr w:rsidRPr="00C65DB6" w:rsidR="00B9015C" w:rsidTr="001706B3" w14:paraId="310287F8" w14:textId="77777777">
        <w:trPr>
          <w:trHeight w:val="160"/>
        </w:trPr>
        <w:tc>
          <w:tcPr>
            <w:tcW w:w="3931" w:type="dxa"/>
          </w:tcPr>
          <w:p w:rsidRPr="00C65DB6" w:rsidR="00B9015C" w:rsidP="00B9015C" w:rsidRDefault="00B9015C" w14:paraId="5FB4BCF5" w14:textId="77777777">
            <w:pPr>
              <w:autoSpaceDE w:val="0"/>
              <w:autoSpaceDN w:val="0"/>
              <w:adjustRightInd w:val="0"/>
              <w:rPr>
                <w:rFonts w:cs="Arial"/>
                <w:b w:val="0"/>
                <w:color w:val="000000"/>
                <w:szCs w:val="24"/>
              </w:rPr>
            </w:pPr>
            <w:r w:rsidRPr="00C65DB6">
              <w:rPr>
                <w:rFonts w:cs="Arial"/>
                <w:b w:val="0"/>
                <w:color w:val="000000"/>
                <w:szCs w:val="24"/>
              </w:rPr>
              <w:t xml:space="preserve">Effective from </w:t>
            </w:r>
          </w:p>
        </w:tc>
        <w:tc>
          <w:tcPr>
            <w:tcW w:w="5319" w:type="dxa"/>
          </w:tcPr>
          <w:p w:rsidRPr="00C65DB6" w:rsidR="00B9015C" w:rsidP="00B9015C" w:rsidRDefault="00AA4A29" w14:paraId="33C1E888" w14:textId="18CB2561">
            <w:pPr>
              <w:autoSpaceDE w:val="0"/>
              <w:autoSpaceDN w:val="0"/>
              <w:adjustRightInd w:val="0"/>
              <w:rPr>
                <w:rFonts w:cs="Arial"/>
                <w:b w:val="0"/>
                <w:color w:val="000000" w:themeColor="text1"/>
                <w:szCs w:val="24"/>
              </w:rPr>
            </w:pPr>
            <w:r w:rsidRPr="00C65DB6">
              <w:rPr>
                <w:rFonts w:cs="Arial"/>
                <w:b w:val="0"/>
                <w:color w:val="000000" w:themeColor="text1"/>
                <w:szCs w:val="24"/>
              </w:rPr>
              <w:t>September</w:t>
            </w:r>
            <w:r w:rsidRPr="00C65DB6" w:rsidR="00FA37D2">
              <w:rPr>
                <w:rFonts w:cs="Arial"/>
                <w:b w:val="0"/>
                <w:color w:val="000000" w:themeColor="text1"/>
                <w:szCs w:val="24"/>
              </w:rPr>
              <w:t xml:space="preserve"> 2021</w:t>
            </w:r>
          </w:p>
        </w:tc>
      </w:tr>
      <w:tr w:rsidRPr="00C65DB6" w:rsidR="00B9015C" w:rsidTr="001706B3" w14:paraId="3277C09B" w14:textId="77777777">
        <w:trPr>
          <w:trHeight w:val="306"/>
        </w:trPr>
        <w:tc>
          <w:tcPr>
            <w:tcW w:w="3931" w:type="dxa"/>
          </w:tcPr>
          <w:p w:rsidRPr="00C65DB6" w:rsidR="00B9015C" w:rsidP="00B9015C" w:rsidRDefault="00B9015C" w14:paraId="4926F169" w14:textId="77777777">
            <w:pPr>
              <w:autoSpaceDE w:val="0"/>
              <w:autoSpaceDN w:val="0"/>
              <w:adjustRightInd w:val="0"/>
              <w:rPr>
                <w:rFonts w:cs="Arial"/>
                <w:b w:val="0"/>
                <w:color w:val="000000"/>
                <w:szCs w:val="24"/>
              </w:rPr>
            </w:pPr>
            <w:r w:rsidRPr="00C65DB6">
              <w:rPr>
                <w:rFonts w:cs="Arial"/>
                <w:b w:val="0"/>
                <w:color w:val="000000"/>
                <w:szCs w:val="24"/>
              </w:rPr>
              <w:t xml:space="preserve">Policy Officer </w:t>
            </w:r>
          </w:p>
        </w:tc>
        <w:tc>
          <w:tcPr>
            <w:tcW w:w="5319" w:type="dxa"/>
          </w:tcPr>
          <w:p w:rsidRPr="00C65DB6" w:rsidR="00B9015C" w:rsidP="00B9015C" w:rsidRDefault="00B9015C" w14:paraId="76082B73" w14:textId="1D77FF18">
            <w:pPr>
              <w:autoSpaceDE w:val="0"/>
              <w:autoSpaceDN w:val="0"/>
              <w:adjustRightInd w:val="0"/>
              <w:rPr>
                <w:rFonts w:cs="Arial"/>
                <w:b w:val="0"/>
                <w:color w:val="000000" w:themeColor="text1"/>
                <w:szCs w:val="24"/>
              </w:rPr>
            </w:pPr>
            <w:r w:rsidRPr="00C65DB6">
              <w:rPr>
                <w:rFonts w:cs="Arial"/>
                <w:b w:val="0"/>
                <w:color w:val="000000" w:themeColor="text1"/>
                <w:szCs w:val="24"/>
              </w:rPr>
              <w:t xml:space="preserve">Director of Quality and Educational </w:t>
            </w:r>
            <w:r w:rsidRPr="00C65DB6" w:rsidR="00FA37D2">
              <w:rPr>
                <w:rFonts w:cs="Arial"/>
                <w:b w:val="0"/>
                <w:color w:val="000000" w:themeColor="text1"/>
                <w:szCs w:val="24"/>
              </w:rPr>
              <w:t>Development</w:t>
            </w:r>
          </w:p>
        </w:tc>
      </w:tr>
      <w:tr w:rsidRPr="00C65DB6" w:rsidR="00B9015C" w:rsidTr="001706B3" w14:paraId="1BD1BD06" w14:textId="77777777">
        <w:trPr>
          <w:trHeight w:val="160"/>
        </w:trPr>
        <w:tc>
          <w:tcPr>
            <w:tcW w:w="3931" w:type="dxa"/>
          </w:tcPr>
          <w:p w:rsidRPr="00C65DB6" w:rsidR="00B9015C" w:rsidP="00B9015C" w:rsidRDefault="00B9015C" w14:paraId="3724CE74" w14:textId="77777777">
            <w:pPr>
              <w:autoSpaceDE w:val="0"/>
              <w:autoSpaceDN w:val="0"/>
              <w:adjustRightInd w:val="0"/>
              <w:rPr>
                <w:rFonts w:cs="Arial"/>
                <w:b w:val="0"/>
                <w:color w:val="000000"/>
                <w:szCs w:val="24"/>
              </w:rPr>
            </w:pPr>
            <w:r w:rsidRPr="00C65DB6">
              <w:rPr>
                <w:rFonts w:cs="Arial"/>
                <w:b w:val="0"/>
                <w:color w:val="000000"/>
                <w:szCs w:val="24"/>
              </w:rPr>
              <w:t xml:space="preserve">Department </w:t>
            </w:r>
          </w:p>
        </w:tc>
        <w:tc>
          <w:tcPr>
            <w:tcW w:w="5319" w:type="dxa"/>
          </w:tcPr>
          <w:p w:rsidRPr="00C65DB6" w:rsidR="00B9015C" w:rsidP="00B9015C" w:rsidRDefault="00B9015C" w14:paraId="1A11114F" w14:textId="77777777">
            <w:pPr>
              <w:autoSpaceDE w:val="0"/>
              <w:autoSpaceDN w:val="0"/>
              <w:adjustRightInd w:val="0"/>
              <w:rPr>
                <w:rFonts w:cs="Arial"/>
                <w:b w:val="0"/>
                <w:color w:val="000000" w:themeColor="text1"/>
                <w:szCs w:val="24"/>
              </w:rPr>
            </w:pPr>
            <w:r w:rsidRPr="00C65DB6">
              <w:rPr>
                <w:rFonts w:cs="Arial"/>
                <w:b w:val="0"/>
                <w:color w:val="000000" w:themeColor="text1"/>
                <w:szCs w:val="24"/>
              </w:rPr>
              <w:t xml:space="preserve">Quality and Educational Directorate </w:t>
            </w:r>
          </w:p>
        </w:tc>
      </w:tr>
      <w:tr w:rsidRPr="00C65DB6" w:rsidR="00B9015C" w:rsidTr="001706B3" w14:paraId="4FB8674B" w14:textId="77777777">
        <w:trPr>
          <w:trHeight w:val="160"/>
        </w:trPr>
        <w:tc>
          <w:tcPr>
            <w:tcW w:w="3931" w:type="dxa"/>
          </w:tcPr>
          <w:p w:rsidRPr="00C65DB6" w:rsidR="00B9015C" w:rsidP="00B9015C" w:rsidRDefault="00B9015C" w14:paraId="584D40EE" w14:textId="77777777">
            <w:pPr>
              <w:autoSpaceDE w:val="0"/>
              <w:autoSpaceDN w:val="0"/>
              <w:adjustRightInd w:val="0"/>
              <w:rPr>
                <w:rFonts w:cs="Arial"/>
                <w:b w:val="0"/>
                <w:color w:val="000000"/>
                <w:szCs w:val="24"/>
              </w:rPr>
            </w:pPr>
            <w:r w:rsidRPr="00C65DB6">
              <w:rPr>
                <w:rFonts w:cs="Arial"/>
                <w:b w:val="0"/>
                <w:color w:val="000000"/>
                <w:szCs w:val="24"/>
              </w:rPr>
              <w:t xml:space="preserve">Review date </w:t>
            </w:r>
          </w:p>
        </w:tc>
        <w:tc>
          <w:tcPr>
            <w:tcW w:w="5319" w:type="dxa"/>
          </w:tcPr>
          <w:p w:rsidRPr="00C65DB6" w:rsidR="00B9015C" w:rsidP="00B9015C" w:rsidRDefault="00B9015C" w14:paraId="26C0DBAE" w14:textId="63DA5CDF">
            <w:pPr>
              <w:autoSpaceDE w:val="0"/>
              <w:autoSpaceDN w:val="0"/>
              <w:adjustRightInd w:val="0"/>
              <w:rPr>
                <w:rFonts w:cs="Arial"/>
                <w:b w:val="0"/>
                <w:color w:val="000000"/>
                <w:szCs w:val="24"/>
              </w:rPr>
            </w:pPr>
            <w:r w:rsidRPr="00C65DB6">
              <w:rPr>
                <w:rFonts w:cs="Arial"/>
                <w:b w:val="0"/>
                <w:color w:val="000000"/>
                <w:szCs w:val="24"/>
              </w:rPr>
              <w:t>September 202</w:t>
            </w:r>
            <w:r w:rsidRPr="00C65DB6" w:rsidR="00FA37D2">
              <w:rPr>
                <w:rFonts w:cs="Arial"/>
                <w:b w:val="0"/>
                <w:color w:val="000000"/>
                <w:szCs w:val="24"/>
              </w:rPr>
              <w:t>4</w:t>
            </w:r>
          </w:p>
        </w:tc>
      </w:tr>
      <w:tr w:rsidRPr="00C65DB6" w:rsidR="00B9015C" w:rsidTr="001706B3" w14:paraId="4ED607B0" w14:textId="77777777">
        <w:trPr>
          <w:trHeight w:val="160"/>
        </w:trPr>
        <w:tc>
          <w:tcPr>
            <w:tcW w:w="3931" w:type="dxa"/>
          </w:tcPr>
          <w:p w:rsidRPr="00C65DB6" w:rsidR="00B9015C" w:rsidP="00B9015C" w:rsidRDefault="00B9015C" w14:paraId="705F9437" w14:textId="77777777">
            <w:pPr>
              <w:autoSpaceDE w:val="0"/>
              <w:autoSpaceDN w:val="0"/>
              <w:adjustRightInd w:val="0"/>
              <w:rPr>
                <w:rFonts w:cs="Arial"/>
                <w:b w:val="0"/>
                <w:color w:val="000000"/>
                <w:szCs w:val="24"/>
              </w:rPr>
            </w:pPr>
            <w:r w:rsidRPr="00C65DB6">
              <w:rPr>
                <w:rFonts w:cs="Arial"/>
                <w:b w:val="0"/>
                <w:color w:val="000000"/>
                <w:szCs w:val="24"/>
              </w:rPr>
              <w:t xml:space="preserve">Last reviewed </w:t>
            </w:r>
          </w:p>
        </w:tc>
        <w:tc>
          <w:tcPr>
            <w:tcW w:w="5319" w:type="dxa"/>
          </w:tcPr>
          <w:p w:rsidRPr="00C65DB6" w:rsidR="00B9015C" w:rsidP="00B9015C" w:rsidRDefault="000B456F" w14:paraId="1DC5F85F" w14:textId="358652BE">
            <w:pPr>
              <w:autoSpaceDE w:val="0"/>
              <w:autoSpaceDN w:val="0"/>
              <w:adjustRightInd w:val="0"/>
              <w:rPr>
                <w:rFonts w:cs="Arial"/>
                <w:b w:val="0"/>
                <w:color w:val="000000"/>
                <w:szCs w:val="24"/>
              </w:rPr>
            </w:pPr>
            <w:r>
              <w:rPr>
                <w:rFonts w:cs="Arial"/>
                <w:b w:val="0"/>
                <w:color w:val="000000"/>
                <w:szCs w:val="24"/>
              </w:rPr>
              <w:t>April</w:t>
            </w:r>
            <w:r w:rsidRPr="00C65DB6" w:rsidR="00FA37D2">
              <w:rPr>
                <w:rFonts w:cs="Arial"/>
                <w:b w:val="0"/>
                <w:color w:val="000000"/>
                <w:szCs w:val="24"/>
              </w:rPr>
              <w:t xml:space="preserve"> </w:t>
            </w:r>
            <w:r w:rsidRPr="00C65DB6" w:rsidR="00B9015C">
              <w:rPr>
                <w:rFonts w:cs="Arial"/>
                <w:b w:val="0"/>
                <w:color w:val="000000"/>
                <w:szCs w:val="24"/>
              </w:rPr>
              <w:t>202</w:t>
            </w:r>
            <w:r>
              <w:rPr>
                <w:rFonts w:cs="Arial"/>
                <w:b w:val="0"/>
                <w:color w:val="000000"/>
                <w:szCs w:val="24"/>
              </w:rPr>
              <w:t>4</w:t>
            </w:r>
            <w:r w:rsidRPr="00C65DB6" w:rsidR="00B9015C">
              <w:rPr>
                <w:rFonts w:cs="Arial"/>
                <w:b w:val="0"/>
                <w:color w:val="000000"/>
                <w:szCs w:val="24"/>
              </w:rPr>
              <w:t>, policy updated</w:t>
            </w:r>
          </w:p>
        </w:tc>
      </w:tr>
      <w:tr w:rsidRPr="00C65DB6" w:rsidR="00C81E62" w:rsidTr="001706B3" w14:paraId="786BEFA3" w14:textId="77777777">
        <w:trPr>
          <w:trHeight w:val="160"/>
        </w:trPr>
        <w:tc>
          <w:tcPr>
            <w:tcW w:w="3931" w:type="dxa"/>
          </w:tcPr>
          <w:p w:rsidRPr="00C65DB6" w:rsidR="00C81E62" w:rsidP="00C81E62" w:rsidRDefault="00C81E62" w14:paraId="3C01B38F" w14:textId="3E542960">
            <w:pPr>
              <w:autoSpaceDE w:val="0"/>
              <w:autoSpaceDN w:val="0"/>
              <w:adjustRightInd w:val="0"/>
              <w:rPr>
                <w:rFonts w:cs="Arial"/>
                <w:b w:val="0"/>
                <w:color w:val="000000"/>
                <w:szCs w:val="24"/>
              </w:rPr>
            </w:pPr>
            <w:r w:rsidRPr="00C65DB6">
              <w:rPr>
                <w:rFonts w:cs="Arial"/>
                <w:b w:val="0"/>
                <w:color w:val="000000"/>
                <w:szCs w:val="24"/>
              </w:rPr>
              <w:t>Policy superseded by this version</w:t>
            </w:r>
          </w:p>
        </w:tc>
        <w:tc>
          <w:tcPr>
            <w:tcW w:w="5319" w:type="dxa"/>
          </w:tcPr>
          <w:p w:rsidRPr="00C65DB6" w:rsidR="00C81E62" w:rsidP="00AA4A29" w:rsidRDefault="00C81E62" w14:paraId="28524D4B" w14:textId="48A6C47B">
            <w:pPr>
              <w:rPr>
                <w:rFonts w:cs="Arial"/>
                <w:b w:val="0"/>
                <w:color w:val="000000"/>
                <w:szCs w:val="24"/>
              </w:rPr>
            </w:pPr>
            <w:r w:rsidRPr="00C65DB6">
              <w:rPr>
                <w:rFonts w:cs="Arial"/>
                <w:b w:val="0"/>
                <w:color w:val="000000"/>
                <w:szCs w:val="24"/>
              </w:rPr>
              <w:t xml:space="preserve">Inclusive Assessment Policy dated </w:t>
            </w:r>
            <w:r w:rsidRPr="00C65DB6" w:rsidR="009F224D">
              <w:rPr>
                <w:rFonts w:cs="Arial"/>
                <w:b w:val="0"/>
                <w:color w:val="000000"/>
                <w:szCs w:val="24"/>
              </w:rPr>
              <w:t>Ju</w:t>
            </w:r>
            <w:r w:rsidR="003A27AB">
              <w:rPr>
                <w:rFonts w:cs="Arial"/>
                <w:b w:val="0"/>
                <w:color w:val="000000"/>
                <w:szCs w:val="24"/>
              </w:rPr>
              <w:t>ly</w:t>
            </w:r>
            <w:r w:rsidRPr="00C65DB6" w:rsidR="009F224D">
              <w:rPr>
                <w:rFonts w:cs="Arial"/>
                <w:b w:val="0"/>
                <w:color w:val="000000"/>
                <w:szCs w:val="24"/>
              </w:rPr>
              <w:t xml:space="preserve"> </w:t>
            </w:r>
            <w:r w:rsidRPr="00C65DB6">
              <w:rPr>
                <w:rFonts w:cs="Arial"/>
                <w:b w:val="0"/>
                <w:color w:val="000000"/>
                <w:szCs w:val="24"/>
              </w:rPr>
              <w:t>202</w:t>
            </w:r>
            <w:r w:rsidR="003A27AB">
              <w:rPr>
                <w:rFonts w:cs="Arial"/>
                <w:b w:val="0"/>
                <w:color w:val="000000"/>
                <w:szCs w:val="24"/>
              </w:rPr>
              <w:t>1</w:t>
            </w:r>
            <w:r w:rsidRPr="00C65DB6">
              <w:rPr>
                <w:rFonts w:cs="Arial"/>
                <w:b w:val="0"/>
                <w:color w:val="000000"/>
                <w:szCs w:val="24"/>
              </w:rPr>
              <w:t>, v</w:t>
            </w:r>
            <w:r w:rsidR="003A27AB">
              <w:rPr>
                <w:rFonts w:cs="Arial"/>
                <w:b w:val="0"/>
                <w:color w:val="000000"/>
                <w:szCs w:val="24"/>
              </w:rPr>
              <w:t>4.1</w:t>
            </w:r>
          </w:p>
        </w:tc>
      </w:tr>
      <w:tr w:rsidRPr="00C65DB6" w:rsidR="00C81E62" w:rsidTr="001706B3" w14:paraId="7AEECABA" w14:textId="77777777">
        <w:trPr>
          <w:trHeight w:val="160"/>
        </w:trPr>
        <w:tc>
          <w:tcPr>
            <w:tcW w:w="3931" w:type="dxa"/>
          </w:tcPr>
          <w:p w:rsidRPr="00C65DB6" w:rsidR="00C81E62" w:rsidP="00C81E62" w:rsidRDefault="00C81E62" w14:paraId="03F1C71A" w14:textId="77777777">
            <w:pPr>
              <w:autoSpaceDE w:val="0"/>
              <w:autoSpaceDN w:val="0"/>
              <w:adjustRightInd w:val="0"/>
              <w:rPr>
                <w:rFonts w:cs="Arial"/>
                <w:b w:val="0"/>
                <w:color w:val="000000"/>
                <w:szCs w:val="24"/>
              </w:rPr>
            </w:pPr>
            <w:r w:rsidRPr="00C65DB6">
              <w:rPr>
                <w:rFonts w:cs="Arial"/>
                <w:b w:val="0"/>
                <w:color w:val="000000"/>
                <w:szCs w:val="24"/>
              </w:rPr>
              <w:t>Equality Impact Assessment (EIA)</w:t>
            </w:r>
          </w:p>
        </w:tc>
        <w:tc>
          <w:tcPr>
            <w:tcW w:w="5319" w:type="dxa"/>
          </w:tcPr>
          <w:p w:rsidRPr="00C65DB6" w:rsidR="00C81E62" w:rsidP="00C81E62" w:rsidRDefault="00C81E62" w14:paraId="6D6FF3F4" w14:textId="77777777">
            <w:pPr>
              <w:autoSpaceDE w:val="0"/>
              <w:autoSpaceDN w:val="0"/>
              <w:adjustRightInd w:val="0"/>
              <w:rPr>
                <w:rFonts w:cs="Arial"/>
                <w:b w:val="0"/>
                <w:color w:val="000000"/>
                <w:szCs w:val="24"/>
              </w:rPr>
            </w:pPr>
            <w:r w:rsidRPr="00C65DB6">
              <w:rPr>
                <w:rFonts w:cs="Arial"/>
                <w:b w:val="0"/>
                <w:color w:val="000000"/>
                <w:szCs w:val="24"/>
              </w:rPr>
              <w:t xml:space="preserve">16 December 2019 </w:t>
            </w:r>
          </w:p>
        </w:tc>
      </w:tr>
      <w:tr w:rsidRPr="00C65DB6" w:rsidR="00C81E62" w:rsidTr="001706B3" w14:paraId="1B583F35" w14:textId="77777777">
        <w:trPr>
          <w:trHeight w:val="160"/>
        </w:trPr>
        <w:tc>
          <w:tcPr>
            <w:tcW w:w="3931" w:type="dxa"/>
          </w:tcPr>
          <w:p w:rsidRPr="00C65DB6" w:rsidR="00C81E62" w:rsidP="00C81E62" w:rsidRDefault="00C81E62" w14:paraId="35E441C6" w14:textId="77777777">
            <w:pPr>
              <w:autoSpaceDE w:val="0"/>
              <w:autoSpaceDN w:val="0"/>
              <w:adjustRightInd w:val="0"/>
              <w:rPr>
                <w:rFonts w:cs="Arial"/>
                <w:b w:val="0"/>
                <w:color w:val="000000"/>
                <w:szCs w:val="24"/>
              </w:rPr>
            </w:pPr>
            <w:r w:rsidRPr="00C65DB6">
              <w:rPr>
                <w:rFonts w:cs="Arial"/>
                <w:b w:val="0"/>
                <w:color w:val="000000"/>
                <w:szCs w:val="24"/>
              </w:rPr>
              <w:t xml:space="preserve">Accessibility Checked </w:t>
            </w:r>
          </w:p>
        </w:tc>
        <w:tc>
          <w:tcPr>
            <w:tcW w:w="5319" w:type="dxa"/>
          </w:tcPr>
          <w:p w:rsidRPr="00C65DB6" w:rsidR="00C81E62" w:rsidP="00C81E62" w:rsidRDefault="00C81E62" w14:paraId="10BC1AAE" w14:textId="5C7637C4">
            <w:pPr>
              <w:autoSpaceDE w:val="0"/>
              <w:autoSpaceDN w:val="0"/>
              <w:adjustRightInd w:val="0"/>
              <w:rPr>
                <w:rFonts w:cs="Arial"/>
                <w:b w:val="0"/>
                <w:color w:val="000000"/>
                <w:szCs w:val="24"/>
              </w:rPr>
            </w:pPr>
            <w:r w:rsidRPr="00C65DB6">
              <w:rPr>
                <w:rFonts w:cs="Arial"/>
                <w:b w:val="0"/>
                <w:color w:val="000000"/>
                <w:szCs w:val="24"/>
              </w:rPr>
              <w:t>9 July 2021</w:t>
            </w:r>
          </w:p>
        </w:tc>
      </w:tr>
    </w:tbl>
    <w:p w:rsidRPr="00C65DB6" w:rsidR="00DF5C11" w:rsidP="00B9015C" w:rsidRDefault="00DF5C11" w14:paraId="5A3D03A1" w14:textId="71C10FD3">
      <w:pPr>
        <w:rPr>
          <w:szCs w:val="24"/>
        </w:rPr>
      </w:pPr>
    </w:p>
    <w:p w:rsidRPr="00C65DB6" w:rsidR="00DF5C11" w:rsidP="00AA4A29" w:rsidRDefault="00DF5C11" w14:paraId="4F183B18" w14:textId="77777777">
      <w:r w:rsidRPr="00C65DB6">
        <w:t>Recent changes</w:t>
      </w:r>
    </w:p>
    <w:tbl>
      <w:tblPr>
        <w:tblStyle w:val="TableGrid1"/>
        <w:tblW w:w="9016" w:type="dxa"/>
        <w:tblLook w:val="04A0" w:firstRow="1" w:lastRow="0" w:firstColumn="1" w:lastColumn="0" w:noHBand="0" w:noVBand="1"/>
      </w:tblPr>
      <w:tblGrid>
        <w:gridCol w:w="1819"/>
        <w:gridCol w:w="1975"/>
        <w:gridCol w:w="5222"/>
      </w:tblGrid>
      <w:tr w:rsidRPr="00C65DB6" w:rsidR="00DF5C11" w:rsidTr="007D6ECD" w14:paraId="0617EB11" w14:textId="77777777">
        <w:tc>
          <w:tcPr>
            <w:tcW w:w="1819" w:type="dxa"/>
          </w:tcPr>
          <w:p w:rsidRPr="00C65DB6" w:rsidR="00DF5C11" w:rsidP="007D6ECD" w:rsidRDefault="00DF5C11" w14:paraId="6F9FE17B" w14:textId="77777777">
            <w:pPr>
              <w:rPr>
                <w:rFonts w:cs="Arial"/>
                <w:b w:val="0"/>
                <w:sz w:val="22"/>
              </w:rPr>
            </w:pPr>
            <w:r w:rsidRPr="00C65DB6">
              <w:rPr>
                <w:rFonts w:eastAsia="Calibri" w:cs="Arial"/>
                <w:sz w:val="22"/>
                <w:lang w:val="en-US"/>
              </w:rPr>
              <w:t>Committee</w:t>
            </w:r>
          </w:p>
        </w:tc>
        <w:tc>
          <w:tcPr>
            <w:tcW w:w="1975" w:type="dxa"/>
          </w:tcPr>
          <w:p w:rsidRPr="00C65DB6" w:rsidR="00DF5C11" w:rsidP="007D6ECD" w:rsidRDefault="00DF5C11" w14:paraId="639A1CC0" w14:textId="77777777">
            <w:pPr>
              <w:rPr>
                <w:rFonts w:cs="Arial"/>
                <w:b w:val="0"/>
                <w:sz w:val="22"/>
              </w:rPr>
            </w:pPr>
            <w:r w:rsidRPr="00C65DB6">
              <w:rPr>
                <w:rFonts w:eastAsia="Calibri" w:cs="Arial"/>
                <w:sz w:val="22"/>
                <w:lang w:val="en-US"/>
              </w:rPr>
              <w:t>Date</w:t>
            </w:r>
          </w:p>
        </w:tc>
        <w:tc>
          <w:tcPr>
            <w:tcW w:w="5222" w:type="dxa"/>
          </w:tcPr>
          <w:p w:rsidRPr="00C65DB6" w:rsidR="00DF5C11" w:rsidP="007D6ECD" w:rsidRDefault="00DF5C11" w14:paraId="2A4DCF56" w14:textId="77777777">
            <w:pPr>
              <w:ind w:left="462" w:hanging="462"/>
              <w:rPr>
                <w:rFonts w:eastAsia="Calibri" w:cs="Arial"/>
                <w:b w:val="0"/>
                <w:sz w:val="22"/>
              </w:rPr>
            </w:pPr>
            <w:r w:rsidRPr="00C65DB6">
              <w:rPr>
                <w:rFonts w:eastAsia="Calibri" w:cs="Arial"/>
                <w:sz w:val="22"/>
                <w:lang w:val="en-US"/>
              </w:rPr>
              <w:t>Change</w:t>
            </w:r>
          </w:p>
        </w:tc>
      </w:tr>
      <w:tr w:rsidRPr="00C34D0D" w:rsidR="00DF5C11" w:rsidTr="007D6ECD" w14:paraId="047F6533" w14:textId="77777777">
        <w:tc>
          <w:tcPr>
            <w:tcW w:w="1819" w:type="dxa"/>
          </w:tcPr>
          <w:p w:rsidRPr="00C65DB6" w:rsidR="00DF5C11" w:rsidP="007D6ECD" w:rsidRDefault="00DF5C11" w14:paraId="5EA18FF7" w14:textId="4B9FE777">
            <w:pPr>
              <w:rPr>
                <w:rFonts w:cs="Arial"/>
                <w:b w:val="0"/>
                <w:sz w:val="22"/>
              </w:rPr>
            </w:pPr>
            <w:r w:rsidRPr="00C65DB6">
              <w:rPr>
                <w:rFonts w:cs="Arial"/>
                <w:b w:val="0"/>
                <w:sz w:val="22"/>
              </w:rPr>
              <w:t>LTSEC</w:t>
            </w:r>
          </w:p>
        </w:tc>
        <w:tc>
          <w:tcPr>
            <w:tcW w:w="1975" w:type="dxa"/>
          </w:tcPr>
          <w:p w:rsidR="00DF5C11" w:rsidP="007D6ECD" w:rsidRDefault="00DF5C11" w14:paraId="2E1584EC" w14:textId="77777777">
            <w:pPr>
              <w:rPr>
                <w:rFonts w:cs="Arial"/>
                <w:b w:val="0"/>
                <w:sz w:val="22"/>
              </w:rPr>
            </w:pPr>
            <w:r w:rsidRPr="00C65DB6">
              <w:rPr>
                <w:rFonts w:cs="Arial"/>
                <w:b w:val="0"/>
                <w:sz w:val="22"/>
              </w:rPr>
              <w:t>June 2021</w:t>
            </w:r>
          </w:p>
          <w:p w:rsidR="001778F1" w:rsidP="007D6ECD" w:rsidRDefault="001778F1" w14:paraId="2E8E9614" w14:textId="77777777">
            <w:pPr>
              <w:rPr>
                <w:rFonts w:cs="Arial"/>
                <w:b w:val="0"/>
                <w:sz w:val="22"/>
              </w:rPr>
            </w:pPr>
          </w:p>
          <w:p w:rsidR="001778F1" w:rsidP="007D6ECD" w:rsidRDefault="001778F1" w14:paraId="06363E6F" w14:textId="77777777">
            <w:pPr>
              <w:rPr>
                <w:rFonts w:cs="Arial"/>
                <w:b w:val="0"/>
                <w:sz w:val="22"/>
              </w:rPr>
            </w:pPr>
          </w:p>
          <w:p w:rsidRPr="00C65DB6" w:rsidR="001778F1" w:rsidP="007D6ECD" w:rsidRDefault="001778F1" w14:paraId="771CD7AF" w14:textId="4E375ED0">
            <w:pPr>
              <w:rPr>
                <w:rFonts w:cs="Arial"/>
                <w:b w:val="0"/>
                <w:sz w:val="22"/>
              </w:rPr>
            </w:pPr>
            <w:r>
              <w:rPr>
                <w:rFonts w:cs="Arial"/>
                <w:b w:val="0"/>
                <w:sz w:val="22"/>
              </w:rPr>
              <w:t>April 2024</w:t>
            </w:r>
          </w:p>
        </w:tc>
        <w:tc>
          <w:tcPr>
            <w:tcW w:w="5222" w:type="dxa"/>
          </w:tcPr>
          <w:p w:rsidRPr="00C65DB6" w:rsidR="009F224D" w:rsidP="00DF5C11" w:rsidRDefault="009F224D" w14:paraId="6C18E8D9" w14:textId="4B628B17">
            <w:pPr>
              <w:keepNext/>
              <w:keepLines/>
              <w:spacing w:before="40"/>
              <w:outlineLvl w:val="2"/>
              <w:rPr>
                <w:rFonts w:cs="Arial"/>
                <w:b w:val="0"/>
                <w:sz w:val="22"/>
              </w:rPr>
            </w:pPr>
            <w:bookmarkStart w:name="_Toc79151271" w:id="23"/>
            <w:r w:rsidRPr="00C65DB6">
              <w:rPr>
                <w:rFonts w:cs="Arial"/>
                <w:b w:val="0"/>
                <w:sz w:val="22"/>
              </w:rPr>
              <w:t>Section 7 – para 7.4 - removed</w:t>
            </w:r>
            <w:bookmarkEnd w:id="23"/>
          </w:p>
          <w:p w:rsidR="00DF5C11" w:rsidP="00DF5C11" w:rsidRDefault="00DF5C11" w14:paraId="4AA6C11C" w14:textId="77777777">
            <w:pPr>
              <w:keepNext/>
              <w:keepLines/>
              <w:spacing w:before="40"/>
              <w:outlineLvl w:val="2"/>
              <w:rPr>
                <w:rFonts w:cs="Arial"/>
                <w:b w:val="0"/>
                <w:sz w:val="22"/>
              </w:rPr>
            </w:pPr>
            <w:bookmarkStart w:name="_Toc79151272" w:id="24"/>
            <w:r w:rsidRPr="00C65DB6">
              <w:rPr>
                <w:rFonts w:cs="Arial"/>
                <w:b w:val="0"/>
                <w:sz w:val="22"/>
              </w:rPr>
              <w:t>Section 10 Alerting Markers to Disability Related Difficulties - section removed</w:t>
            </w:r>
            <w:bookmarkEnd w:id="24"/>
          </w:p>
          <w:p w:rsidRPr="00C65DB6" w:rsidR="001778F1" w:rsidP="00DF5C11" w:rsidRDefault="002E46C1" w14:paraId="288B566D" w14:textId="443A9935">
            <w:pPr>
              <w:keepNext/>
              <w:keepLines/>
              <w:spacing w:before="40"/>
              <w:outlineLvl w:val="2"/>
              <w:rPr>
                <w:rFonts w:cs="Arial"/>
                <w:b w:val="0"/>
                <w:sz w:val="22"/>
              </w:rPr>
            </w:pPr>
            <w:r>
              <w:rPr>
                <w:rFonts w:cs="Arial"/>
                <w:b w:val="0"/>
                <w:sz w:val="22"/>
              </w:rPr>
              <w:t xml:space="preserve">Section 8&amp;9 – Changes </w:t>
            </w:r>
            <w:r w:rsidR="00966F66">
              <w:rPr>
                <w:rFonts w:cs="Arial"/>
                <w:b w:val="0"/>
                <w:sz w:val="22"/>
              </w:rPr>
              <w:t>from DDS1 to RAPs</w:t>
            </w:r>
          </w:p>
        </w:tc>
      </w:tr>
    </w:tbl>
    <w:p w:rsidRPr="00B9015C" w:rsidR="00DF5C11" w:rsidP="00AA4A29" w:rsidRDefault="00DF5C11" w14:paraId="168917C7" w14:textId="77777777">
      <w:pPr>
        <w:rPr>
          <w:szCs w:val="24"/>
        </w:rPr>
      </w:pPr>
    </w:p>
    <w:sectPr w:rsidRPr="00B9015C" w:rsidR="00DF5C11" w:rsidSect="00BA5A80">
      <w:footerReference w:type="default" r:id="rId19"/>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84CB" w14:textId="77777777" w:rsidR="00BA5A80" w:rsidRDefault="00BA5A80" w:rsidP="00FF77F9">
      <w:r>
        <w:separator/>
      </w:r>
    </w:p>
  </w:endnote>
  <w:endnote w:type="continuationSeparator" w:id="0">
    <w:p w14:paraId="1803213D" w14:textId="77777777" w:rsidR="00BA5A80" w:rsidRDefault="00BA5A80" w:rsidP="00FF77F9">
      <w:r>
        <w:continuationSeparator/>
      </w:r>
    </w:p>
  </w:endnote>
  <w:endnote w:type="continuationNotice" w:id="1">
    <w:p w14:paraId="7C6DD93E" w14:textId="77777777" w:rsidR="00BA5A80" w:rsidRDefault="00BA5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sz w:val="18"/>
        <w:szCs w:val="18"/>
      </w:rPr>
      <w:id w:val="-14551316"/>
      <w:docPartObj>
        <w:docPartGallery w:val="Page Numbers (Bottom of Page)"/>
        <w:docPartUnique/>
      </w:docPartObj>
    </w:sdtPr>
    <w:sdtContent>
      <w:sdt>
        <w:sdtPr>
          <w:rPr>
            <w:b w:val="0"/>
            <w:bCs/>
            <w:sz w:val="18"/>
            <w:szCs w:val="18"/>
          </w:rPr>
          <w:id w:val="1728636285"/>
          <w:docPartObj>
            <w:docPartGallery w:val="Page Numbers (Top of Page)"/>
            <w:docPartUnique/>
          </w:docPartObj>
        </w:sdtPr>
        <w:sdtContent>
          <w:p w14:paraId="70EFE7C4" w14:textId="64FF9518" w:rsidR="00E44BF7" w:rsidRPr="00E44BF7" w:rsidRDefault="00E44BF7">
            <w:pPr>
              <w:pStyle w:val="Footer"/>
              <w:jc w:val="center"/>
              <w:rPr>
                <w:b w:val="0"/>
                <w:bCs/>
                <w:sz w:val="18"/>
                <w:szCs w:val="18"/>
              </w:rPr>
            </w:pPr>
            <w:r w:rsidRPr="00E44BF7">
              <w:rPr>
                <w:b w:val="0"/>
                <w:bCs/>
                <w:sz w:val="18"/>
                <w:szCs w:val="18"/>
              </w:rPr>
              <w:t xml:space="preserve">Page </w:t>
            </w:r>
            <w:r w:rsidRPr="00E44BF7">
              <w:rPr>
                <w:b w:val="0"/>
                <w:bCs/>
                <w:sz w:val="18"/>
                <w:szCs w:val="18"/>
              </w:rPr>
              <w:fldChar w:fldCharType="begin"/>
            </w:r>
            <w:r w:rsidRPr="00E44BF7">
              <w:rPr>
                <w:b w:val="0"/>
                <w:bCs/>
                <w:sz w:val="18"/>
                <w:szCs w:val="18"/>
              </w:rPr>
              <w:instrText xml:space="preserve"> PAGE </w:instrText>
            </w:r>
            <w:r w:rsidRPr="00E44BF7">
              <w:rPr>
                <w:b w:val="0"/>
                <w:bCs/>
                <w:sz w:val="18"/>
                <w:szCs w:val="18"/>
              </w:rPr>
              <w:fldChar w:fldCharType="separate"/>
            </w:r>
            <w:r w:rsidRPr="00E44BF7">
              <w:rPr>
                <w:b w:val="0"/>
                <w:bCs/>
                <w:noProof/>
                <w:sz w:val="18"/>
                <w:szCs w:val="18"/>
              </w:rPr>
              <w:t>2</w:t>
            </w:r>
            <w:r w:rsidRPr="00E44BF7">
              <w:rPr>
                <w:b w:val="0"/>
                <w:bCs/>
                <w:sz w:val="18"/>
                <w:szCs w:val="18"/>
              </w:rPr>
              <w:fldChar w:fldCharType="end"/>
            </w:r>
            <w:r w:rsidRPr="00E44BF7">
              <w:rPr>
                <w:b w:val="0"/>
                <w:bCs/>
                <w:sz w:val="18"/>
                <w:szCs w:val="18"/>
              </w:rPr>
              <w:t xml:space="preserve"> of </w:t>
            </w:r>
            <w:r w:rsidRPr="00E44BF7">
              <w:rPr>
                <w:b w:val="0"/>
                <w:bCs/>
                <w:sz w:val="18"/>
                <w:szCs w:val="18"/>
              </w:rPr>
              <w:fldChar w:fldCharType="begin"/>
            </w:r>
            <w:r w:rsidRPr="00E44BF7">
              <w:rPr>
                <w:b w:val="0"/>
                <w:bCs/>
                <w:sz w:val="18"/>
                <w:szCs w:val="18"/>
              </w:rPr>
              <w:instrText xml:space="preserve"> NUMPAGES  </w:instrText>
            </w:r>
            <w:r w:rsidRPr="00E44BF7">
              <w:rPr>
                <w:b w:val="0"/>
                <w:bCs/>
                <w:sz w:val="18"/>
                <w:szCs w:val="18"/>
              </w:rPr>
              <w:fldChar w:fldCharType="separate"/>
            </w:r>
            <w:r w:rsidRPr="00E44BF7">
              <w:rPr>
                <w:b w:val="0"/>
                <w:bCs/>
                <w:noProof/>
                <w:sz w:val="18"/>
                <w:szCs w:val="18"/>
              </w:rPr>
              <w:t>2</w:t>
            </w:r>
            <w:r w:rsidRPr="00E44BF7">
              <w:rPr>
                <w:b w:val="0"/>
                <w:bCs/>
                <w:sz w:val="18"/>
                <w:szCs w:val="18"/>
              </w:rPr>
              <w:fldChar w:fldCharType="end"/>
            </w:r>
          </w:p>
        </w:sdtContent>
      </w:sdt>
    </w:sdtContent>
  </w:sdt>
  <w:p w14:paraId="2912E003" w14:textId="77777777" w:rsidR="00E44BF7" w:rsidRDefault="00E4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3FF8" w14:textId="77777777" w:rsidR="00BA5A80" w:rsidRDefault="00BA5A80" w:rsidP="00FF77F9">
      <w:r>
        <w:separator/>
      </w:r>
    </w:p>
  </w:footnote>
  <w:footnote w:type="continuationSeparator" w:id="0">
    <w:p w14:paraId="502B0A1A" w14:textId="77777777" w:rsidR="00BA5A80" w:rsidRDefault="00BA5A80" w:rsidP="00FF77F9">
      <w:r>
        <w:continuationSeparator/>
      </w:r>
    </w:p>
  </w:footnote>
  <w:footnote w:type="continuationNotice" w:id="1">
    <w:p w14:paraId="1C2F6E1F" w14:textId="77777777" w:rsidR="00BA5A80" w:rsidRDefault="00BA5A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2ED9"/>
    <w:multiLevelType w:val="multilevel"/>
    <w:tmpl w:val="0700F93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C77983"/>
    <w:multiLevelType w:val="hybridMultilevel"/>
    <w:tmpl w:val="8446E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C02B5"/>
    <w:multiLevelType w:val="multilevel"/>
    <w:tmpl w:val="120259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F563AD"/>
    <w:multiLevelType w:val="hybridMultilevel"/>
    <w:tmpl w:val="484A9996"/>
    <w:lvl w:ilvl="0" w:tplc="B2D66452">
      <w:start w:val="1"/>
      <w:numFmt w:val="decimal"/>
      <w:lvlText w:val="%1."/>
      <w:lvlJc w:val="left"/>
      <w:pPr>
        <w:ind w:left="940" w:hanging="720"/>
      </w:pPr>
      <w:rPr>
        <w:rFonts w:ascii="Calibri" w:eastAsia="Calibri" w:hAnsi="Calibri" w:cs="Calibri" w:hint="default"/>
        <w:spacing w:val="-3"/>
        <w:w w:val="100"/>
        <w:sz w:val="24"/>
        <w:szCs w:val="24"/>
        <w:lang w:val="en-GB" w:eastAsia="en-GB" w:bidi="en-GB"/>
      </w:rPr>
    </w:lvl>
    <w:lvl w:ilvl="1" w:tplc="2F92706A">
      <w:numFmt w:val="bullet"/>
      <w:lvlText w:val="•"/>
      <w:lvlJc w:val="left"/>
      <w:pPr>
        <w:ind w:left="2285" w:hanging="720"/>
      </w:pPr>
      <w:rPr>
        <w:lang w:val="en-GB" w:eastAsia="en-GB" w:bidi="en-GB"/>
      </w:rPr>
    </w:lvl>
    <w:lvl w:ilvl="2" w:tplc="138E9C3A">
      <w:numFmt w:val="bullet"/>
      <w:lvlText w:val="•"/>
      <w:lvlJc w:val="left"/>
      <w:pPr>
        <w:ind w:left="3631" w:hanging="720"/>
      </w:pPr>
      <w:rPr>
        <w:lang w:val="en-GB" w:eastAsia="en-GB" w:bidi="en-GB"/>
      </w:rPr>
    </w:lvl>
    <w:lvl w:ilvl="3" w:tplc="EAA68548">
      <w:numFmt w:val="bullet"/>
      <w:lvlText w:val="•"/>
      <w:lvlJc w:val="left"/>
      <w:pPr>
        <w:ind w:left="4977" w:hanging="720"/>
      </w:pPr>
      <w:rPr>
        <w:lang w:val="en-GB" w:eastAsia="en-GB" w:bidi="en-GB"/>
      </w:rPr>
    </w:lvl>
    <w:lvl w:ilvl="4" w:tplc="ACDCE042">
      <w:numFmt w:val="bullet"/>
      <w:lvlText w:val="•"/>
      <w:lvlJc w:val="left"/>
      <w:pPr>
        <w:ind w:left="6323" w:hanging="720"/>
      </w:pPr>
      <w:rPr>
        <w:lang w:val="en-GB" w:eastAsia="en-GB" w:bidi="en-GB"/>
      </w:rPr>
    </w:lvl>
    <w:lvl w:ilvl="5" w:tplc="F4A4C3B0">
      <w:numFmt w:val="bullet"/>
      <w:lvlText w:val="•"/>
      <w:lvlJc w:val="left"/>
      <w:pPr>
        <w:ind w:left="7669" w:hanging="720"/>
      </w:pPr>
      <w:rPr>
        <w:lang w:val="en-GB" w:eastAsia="en-GB" w:bidi="en-GB"/>
      </w:rPr>
    </w:lvl>
    <w:lvl w:ilvl="6" w:tplc="E12A9FA8">
      <w:numFmt w:val="bullet"/>
      <w:lvlText w:val="•"/>
      <w:lvlJc w:val="left"/>
      <w:pPr>
        <w:ind w:left="9015" w:hanging="720"/>
      </w:pPr>
      <w:rPr>
        <w:lang w:val="en-GB" w:eastAsia="en-GB" w:bidi="en-GB"/>
      </w:rPr>
    </w:lvl>
    <w:lvl w:ilvl="7" w:tplc="97A40F38">
      <w:numFmt w:val="bullet"/>
      <w:lvlText w:val="•"/>
      <w:lvlJc w:val="left"/>
      <w:pPr>
        <w:ind w:left="10360" w:hanging="720"/>
      </w:pPr>
      <w:rPr>
        <w:lang w:val="en-GB" w:eastAsia="en-GB" w:bidi="en-GB"/>
      </w:rPr>
    </w:lvl>
    <w:lvl w:ilvl="8" w:tplc="1F1CCD34">
      <w:numFmt w:val="bullet"/>
      <w:lvlText w:val="•"/>
      <w:lvlJc w:val="left"/>
      <w:pPr>
        <w:ind w:left="11706" w:hanging="720"/>
      </w:pPr>
      <w:rPr>
        <w:lang w:val="en-GB" w:eastAsia="en-GB" w:bidi="en-GB"/>
      </w:rPr>
    </w:lvl>
  </w:abstractNum>
  <w:abstractNum w:abstractNumId="4" w15:restartNumberingAfterBreak="0">
    <w:nsid w:val="146F2C38"/>
    <w:multiLevelType w:val="hybridMultilevel"/>
    <w:tmpl w:val="50367B3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8A74DEA"/>
    <w:multiLevelType w:val="hybridMultilevel"/>
    <w:tmpl w:val="8FECEE02"/>
    <w:lvl w:ilvl="0" w:tplc="475E3BD6">
      <w:start w:val="1"/>
      <w:numFmt w:val="lowerLetter"/>
      <w:lvlText w:val="%1)"/>
      <w:lvlJc w:val="left"/>
      <w:pPr>
        <w:ind w:left="940" w:hanging="720"/>
      </w:pPr>
      <w:rPr>
        <w:rFonts w:ascii="Calibri" w:eastAsia="Calibri" w:hAnsi="Calibri" w:cs="Calibri" w:hint="default"/>
        <w:spacing w:val="-4"/>
        <w:w w:val="100"/>
        <w:sz w:val="24"/>
        <w:szCs w:val="24"/>
        <w:lang w:val="en-GB" w:eastAsia="en-GB" w:bidi="en-GB"/>
      </w:rPr>
    </w:lvl>
    <w:lvl w:ilvl="1" w:tplc="E592B956">
      <w:numFmt w:val="bullet"/>
      <w:lvlText w:val="•"/>
      <w:lvlJc w:val="left"/>
      <w:pPr>
        <w:ind w:left="2285" w:hanging="720"/>
      </w:pPr>
      <w:rPr>
        <w:lang w:val="en-GB" w:eastAsia="en-GB" w:bidi="en-GB"/>
      </w:rPr>
    </w:lvl>
    <w:lvl w:ilvl="2" w:tplc="AF44457E">
      <w:numFmt w:val="bullet"/>
      <w:lvlText w:val="•"/>
      <w:lvlJc w:val="left"/>
      <w:pPr>
        <w:ind w:left="3631" w:hanging="720"/>
      </w:pPr>
      <w:rPr>
        <w:lang w:val="en-GB" w:eastAsia="en-GB" w:bidi="en-GB"/>
      </w:rPr>
    </w:lvl>
    <w:lvl w:ilvl="3" w:tplc="85E04E6A">
      <w:numFmt w:val="bullet"/>
      <w:lvlText w:val="•"/>
      <w:lvlJc w:val="left"/>
      <w:pPr>
        <w:ind w:left="4977" w:hanging="720"/>
      </w:pPr>
      <w:rPr>
        <w:lang w:val="en-GB" w:eastAsia="en-GB" w:bidi="en-GB"/>
      </w:rPr>
    </w:lvl>
    <w:lvl w:ilvl="4" w:tplc="B3BE0F30">
      <w:numFmt w:val="bullet"/>
      <w:lvlText w:val="•"/>
      <w:lvlJc w:val="left"/>
      <w:pPr>
        <w:ind w:left="6323" w:hanging="720"/>
      </w:pPr>
      <w:rPr>
        <w:lang w:val="en-GB" w:eastAsia="en-GB" w:bidi="en-GB"/>
      </w:rPr>
    </w:lvl>
    <w:lvl w:ilvl="5" w:tplc="16205056">
      <w:numFmt w:val="bullet"/>
      <w:lvlText w:val="•"/>
      <w:lvlJc w:val="left"/>
      <w:pPr>
        <w:ind w:left="7669" w:hanging="720"/>
      </w:pPr>
      <w:rPr>
        <w:lang w:val="en-GB" w:eastAsia="en-GB" w:bidi="en-GB"/>
      </w:rPr>
    </w:lvl>
    <w:lvl w:ilvl="6" w:tplc="6D18BF96">
      <w:numFmt w:val="bullet"/>
      <w:lvlText w:val="•"/>
      <w:lvlJc w:val="left"/>
      <w:pPr>
        <w:ind w:left="9015" w:hanging="720"/>
      </w:pPr>
      <w:rPr>
        <w:lang w:val="en-GB" w:eastAsia="en-GB" w:bidi="en-GB"/>
      </w:rPr>
    </w:lvl>
    <w:lvl w:ilvl="7" w:tplc="51826C16">
      <w:numFmt w:val="bullet"/>
      <w:lvlText w:val="•"/>
      <w:lvlJc w:val="left"/>
      <w:pPr>
        <w:ind w:left="10360" w:hanging="720"/>
      </w:pPr>
      <w:rPr>
        <w:lang w:val="en-GB" w:eastAsia="en-GB" w:bidi="en-GB"/>
      </w:rPr>
    </w:lvl>
    <w:lvl w:ilvl="8" w:tplc="128A81EE">
      <w:numFmt w:val="bullet"/>
      <w:lvlText w:val="•"/>
      <w:lvlJc w:val="left"/>
      <w:pPr>
        <w:ind w:left="11706" w:hanging="720"/>
      </w:pPr>
      <w:rPr>
        <w:lang w:val="en-GB" w:eastAsia="en-GB" w:bidi="en-GB"/>
      </w:rPr>
    </w:lvl>
  </w:abstractNum>
  <w:abstractNum w:abstractNumId="6" w15:restartNumberingAfterBreak="0">
    <w:nsid w:val="30AD15B3"/>
    <w:multiLevelType w:val="hybridMultilevel"/>
    <w:tmpl w:val="74A45AEC"/>
    <w:lvl w:ilvl="0" w:tplc="89E6A1C6">
      <w:start w:val="1"/>
      <w:numFmt w:val="decimal"/>
      <w:lvlText w:val="%1."/>
      <w:lvlJc w:val="left"/>
      <w:pPr>
        <w:ind w:left="1660" w:hanging="360"/>
      </w:pPr>
      <w:rPr>
        <w:rFonts w:ascii="Calibri" w:eastAsia="Calibri" w:hAnsi="Calibri" w:cs="Calibri" w:hint="default"/>
        <w:spacing w:val="-5"/>
        <w:w w:val="100"/>
        <w:sz w:val="24"/>
        <w:szCs w:val="24"/>
        <w:lang w:val="en-GB" w:eastAsia="en-GB" w:bidi="en-GB"/>
      </w:rPr>
    </w:lvl>
    <w:lvl w:ilvl="1" w:tplc="A6801E2E">
      <w:numFmt w:val="bullet"/>
      <w:lvlText w:val="•"/>
      <w:lvlJc w:val="left"/>
      <w:pPr>
        <w:ind w:left="2440" w:hanging="360"/>
      </w:pPr>
      <w:rPr>
        <w:rFonts w:hint="default"/>
        <w:lang w:val="en-GB" w:eastAsia="en-GB" w:bidi="en-GB"/>
      </w:rPr>
    </w:lvl>
    <w:lvl w:ilvl="2" w:tplc="3D3CA3B6">
      <w:numFmt w:val="bullet"/>
      <w:lvlText w:val="•"/>
      <w:lvlJc w:val="left"/>
      <w:pPr>
        <w:ind w:left="3221" w:hanging="360"/>
      </w:pPr>
      <w:rPr>
        <w:rFonts w:hint="default"/>
        <w:lang w:val="en-GB" w:eastAsia="en-GB" w:bidi="en-GB"/>
      </w:rPr>
    </w:lvl>
    <w:lvl w:ilvl="3" w:tplc="F9F2868A">
      <w:numFmt w:val="bullet"/>
      <w:lvlText w:val="•"/>
      <w:lvlJc w:val="left"/>
      <w:pPr>
        <w:ind w:left="4001" w:hanging="360"/>
      </w:pPr>
      <w:rPr>
        <w:rFonts w:hint="default"/>
        <w:lang w:val="en-GB" w:eastAsia="en-GB" w:bidi="en-GB"/>
      </w:rPr>
    </w:lvl>
    <w:lvl w:ilvl="4" w:tplc="F38C076E">
      <w:numFmt w:val="bullet"/>
      <w:lvlText w:val="•"/>
      <w:lvlJc w:val="left"/>
      <w:pPr>
        <w:ind w:left="4782" w:hanging="360"/>
      </w:pPr>
      <w:rPr>
        <w:rFonts w:hint="default"/>
        <w:lang w:val="en-GB" w:eastAsia="en-GB" w:bidi="en-GB"/>
      </w:rPr>
    </w:lvl>
    <w:lvl w:ilvl="5" w:tplc="5AD031AC">
      <w:numFmt w:val="bullet"/>
      <w:lvlText w:val="•"/>
      <w:lvlJc w:val="left"/>
      <w:pPr>
        <w:ind w:left="5563" w:hanging="360"/>
      </w:pPr>
      <w:rPr>
        <w:rFonts w:hint="default"/>
        <w:lang w:val="en-GB" w:eastAsia="en-GB" w:bidi="en-GB"/>
      </w:rPr>
    </w:lvl>
    <w:lvl w:ilvl="6" w:tplc="0A9C708C">
      <w:numFmt w:val="bullet"/>
      <w:lvlText w:val="•"/>
      <w:lvlJc w:val="left"/>
      <w:pPr>
        <w:ind w:left="6343" w:hanging="360"/>
      </w:pPr>
      <w:rPr>
        <w:rFonts w:hint="default"/>
        <w:lang w:val="en-GB" w:eastAsia="en-GB" w:bidi="en-GB"/>
      </w:rPr>
    </w:lvl>
    <w:lvl w:ilvl="7" w:tplc="391E99E0">
      <w:numFmt w:val="bullet"/>
      <w:lvlText w:val="•"/>
      <w:lvlJc w:val="left"/>
      <w:pPr>
        <w:ind w:left="7124" w:hanging="360"/>
      </w:pPr>
      <w:rPr>
        <w:rFonts w:hint="default"/>
        <w:lang w:val="en-GB" w:eastAsia="en-GB" w:bidi="en-GB"/>
      </w:rPr>
    </w:lvl>
    <w:lvl w:ilvl="8" w:tplc="C83C220C">
      <w:numFmt w:val="bullet"/>
      <w:lvlText w:val="•"/>
      <w:lvlJc w:val="left"/>
      <w:pPr>
        <w:ind w:left="7905" w:hanging="360"/>
      </w:pPr>
      <w:rPr>
        <w:rFonts w:hint="default"/>
        <w:lang w:val="en-GB" w:eastAsia="en-GB" w:bidi="en-GB"/>
      </w:rPr>
    </w:lvl>
  </w:abstractNum>
  <w:abstractNum w:abstractNumId="7" w15:restartNumberingAfterBreak="0">
    <w:nsid w:val="3A8415BE"/>
    <w:multiLevelType w:val="hybridMultilevel"/>
    <w:tmpl w:val="336E58C8"/>
    <w:lvl w:ilvl="0" w:tplc="AB6AADF6">
      <w:start w:val="4"/>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D774B12"/>
    <w:multiLevelType w:val="hybridMultilevel"/>
    <w:tmpl w:val="687CC65A"/>
    <w:lvl w:ilvl="0" w:tplc="0ADCDDB8">
      <w:start w:val="3"/>
      <w:numFmt w:val="decimal"/>
      <w:lvlText w:val="%1."/>
      <w:lvlJc w:val="left"/>
      <w:pPr>
        <w:ind w:left="939" w:hanging="720"/>
      </w:pPr>
      <w:rPr>
        <w:rFonts w:ascii="Cambria" w:eastAsia="Cambria" w:hAnsi="Cambria" w:cs="Cambria" w:hint="default"/>
        <w:color w:val="365F91"/>
        <w:w w:val="99"/>
        <w:sz w:val="32"/>
        <w:szCs w:val="32"/>
        <w:lang w:val="en-GB" w:eastAsia="en-GB" w:bidi="en-GB"/>
      </w:rPr>
    </w:lvl>
    <w:lvl w:ilvl="1" w:tplc="8096968E">
      <w:numFmt w:val="bullet"/>
      <w:lvlText w:val=""/>
      <w:lvlJc w:val="left"/>
      <w:pPr>
        <w:ind w:left="940" w:hanging="360"/>
      </w:pPr>
      <w:rPr>
        <w:rFonts w:ascii="Symbol" w:eastAsia="Symbol" w:hAnsi="Symbol" w:cs="Symbol" w:hint="default"/>
        <w:w w:val="100"/>
        <w:sz w:val="24"/>
        <w:szCs w:val="24"/>
        <w:lang w:val="en-GB" w:eastAsia="en-GB" w:bidi="en-GB"/>
      </w:rPr>
    </w:lvl>
    <w:lvl w:ilvl="2" w:tplc="370C3BCC">
      <w:numFmt w:val="bullet"/>
      <w:lvlText w:val="•"/>
      <w:lvlJc w:val="left"/>
      <w:pPr>
        <w:ind w:left="2645" w:hanging="360"/>
      </w:pPr>
      <w:rPr>
        <w:rFonts w:hint="default"/>
        <w:lang w:val="en-GB" w:eastAsia="en-GB" w:bidi="en-GB"/>
      </w:rPr>
    </w:lvl>
    <w:lvl w:ilvl="3" w:tplc="950A262C">
      <w:numFmt w:val="bullet"/>
      <w:lvlText w:val="•"/>
      <w:lvlJc w:val="left"/>
      <w:pPr>
        <w:ind w:left="3497" w:hanging="360"/>
      </w:pPr>
      <w:rPr>
        <w:rFonts w:hint="default"/>
        <w:lang w:val="en-GB" w:eastAsia="en-GB" w:bidi="en-GB"/>
      </w:rPr>
    </w:lvl>
    <w:lvl w:ilvl="4" w:tplc="C2385478">
      <w:numFmt w:val="bullet"/>
      <w:lvlText w:val="•"/>
      <w:lvlJc w:val="left"/>
      <w:pPr>
        <w:ind w:left="4350" w:hanging="360"/>
      </w:pPr>
      <w:rPr>
        <w:rFonts w:hint="default"/>
        <w:lang w:val="en-GB" w:eastAsia="en-GB" w:bidi="en-GB"/>
      </w:rPr>
    </w:lvl>
    <w:lvl w:ilvl="5" w:tplc="12DCF070">
      <w:numFmt w:val="bullet"/>
      <w:lvlText w:val="•"/>
      <w:lvlJc w:val="left"/>
      <w:pPr>
        <w:ind w:left="5203" w:hanging="360"/>
      </w:pPr>
      <w:rPr>
        <w:rFonts w:hint="default"/>
        <w:lang w:val="en-GB" w:eastAsia="en-GB" w:bidi="en-GB"/>
      </w:rPr>
    </w:lvl>
    <w:lvl w:ilvl="6" w:tplc="8CBC6B74">
      <w:numFmt w:val="bullet"/>
      <w:lvlText w:val="•"/>
      <w:lvlJc w:val="left"/>
      <w:pPr>
        <w:ind w:left="6055" w:hanging="360"/>
      </w:pPr>
      <w:rPr>
        <w:rFonts w:hint="default"/>
        <w:lang w:val="en-GB" w:eastAsia="en-GB" w:bidi="en-GB"/>
      </w:rPr>
    </w:lvl>
    <w:lvl w:ilvl="7" w:tplc="A7AA9136">
      <w:numFmt w:val="bullet"/>
      <w:lvlText w:val="•"/>
      <w:lvlJc w:val="left"/>
      <w:pPr>
        <w:ind w:left="6908" w:hanging="360"/>
      </w:pPr>
      <w:rPr>
        <w:rFonts w:hint="default"/>
        <w:lang w:val="en-GB" w:eastAsia="en-GB" w:bidi="en-GB"/>
      </w:rPr>
    </w:lvl>
    <w:lvl w:ilvl="8" w:tplc="5E287784">
      <w:numFmt w:val="bullet"/>
      <w:lvlText w:val="•"/>
      <w:lvlJc w:val="left"/>
      <w:pPr>
        <w:ind w:left="7761" w:hanging="360"/>
      </w:pPr>
      <w:rPr>
        <w:rFonts w:hint="default"/>
        <w:lang w:val="en-GB" w:eastAsia="en-GB" w:bidi="en-GB"/>
      </w:rPr>
    </w:lvl>
  </w:abstractNum>
  <w:abstractNum w:abstractNumId="9" w15:restartNumberingAfterBreak="0">
    <w:nsid w:val="3E0E700B"/>
    <w:multiLevelType w:val="hybridMultilevel"/>
    <w:tmpl w:val="4622E2F6"/>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C1157D"/>
    <w:multiLevelType w:val="hybridMultilevel"/>
    <w:tmpl w:val="F3C6A1DA"/>
    <w:lvl w:ilvl="0" w:tplc="D6646E8C">
      <w:start w:val="1"/>
      <w:numFmt w:val="decimal"/>
      <w:lvlText w:val="%1"/>
      <w:lvlJc w:val="left"/>
      <w:pPr>
        <w:ind w:left="1004" w:hanging="720"/>
      </w:pPr>
      <w:rPr>
        <w:rFonts w:hint="default"/>
        <w:b/>
        <w:color w:val="1F3763" w:themeColor="accent1" w:themeShade="7F"/>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44A1093B"/>
    <w:multiLevelType w:val="multilevel"/>
    <w:tmpl w:val="7C149D2C"/>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DDE1258"/>
    <w:multiLevelType w:val="multilevel"/>
    <w:tmpl w:val="FDB6CC38"/>
    <w:lvl w:ilvl="0">
      <w:start w:val="1"/>
      <w:numFmt w:val="decimal"/>
      <w:lvlText w:val="%1"/>
      <w:lvlJc w:val="left"/>
      <w:pPr>
        <w:ind w:left="375" w:hanging="375"/>
      </w:pPr>
      <w:rPr>
        <w:rFonts w:hint="default"/>
      </w:rPr>
    </w:lvl>
    <w:lvl w:ilvl="1">
      <w:start w:val="17"/>
      <w:numFmt w:val="decimal"/>
      <w:lvlText w:val="%1.%2"/>
      <w:lvlJc w:val="left"/>
      <w:pPr>
        <w:ind w:left="659"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09E09B8"/>
    <w:multiLevelType w:val="hybridMultilevel"/>
    <w:tmpl w:val="1442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DD2693"/>
    <w:multiLevelType w:val="hybridMultilevel"/>
    <w:tmpl w:val="8F5058C2"/>
    <w:lvl w:ilvl="0" w:tplc="BA76E99C">
      <w:start w:val="1"/>
      <w:numFmt w:val="lowerRoman"/>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859058C"/>
    <w:multiLevelType w:val="hybridMultilevel"/>
    <w:tmpl w:val="CCD47BA2"/>
    <w:lvl w:ilvl="0" w:tplc="2AAC830C">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25229BF"/>
    <w:multiLevelType w:val="multilevel"/>
    <w:tmpl w:val="935004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A32FA1"/>
    <w:multiLevelType w:val="hybridMultilevel"/>
    <w:tmpl w:val="EA8A4BAC"/>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4A603C8"/>
    <w:multiLevelType w:val="hybridMultilevel"/>
    <w:tmpl w:val="9A7E5E5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763F19DF"/>
    <w:multiLevelType w:val="hybridMultilevel"/>
    <w:tmpl w:val="76864D4A"/>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0" w15:restartNumberingAfterBreak="0">
    <w:nsid w:val="7DDD5159"/>
    <w:multiLevelType w:val="hybridMultilevel"/>
    <w:tmpl w:val="1CDEC16A"/>
    <w:lvl w:ilvl="0" w:tplc="08090003">
      <w:start w:val="1"/>
      <w:numFmt w:val="bullet"/>
      <w:lvlText w:val="o"/>
      <w:lvlJc w:val="left"/>
      <w:pPr>
        <w:ind w:left="2160" w:hanging="360"/>
      </w:pPr>
      <w:rPr>
        <w:rFonts w:ascii="Courier New" w:hAnsi="Courier New" w:cs="Courier New" w:hint="default"/>
        <w:lang w:val="en-GB" w:eastAsia="en-GB" w:bidi="en-GB"/>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764961753">
    <w:abstractNumId w:val="8"/>
  </w:num>
  <w:num w:numId="2" w16cid:durableId="2121797102">
    <w:abstractNumId w:val="1"/>
  </w:num>
  <w:num w:numId="3" w16cid:durableId="1213274005">
    <w:abstractNumId w:val="6"/>
  </w:num>
  <w:num w:numId="4" w16cid:durableId="1920820557">
    <w:abstractNumId w:val="18"/>
  </w:num>
  <w:num w:numId="5" w16cid:durableId="1892228550">
    <w:abstractNumId w:val="19"/>
  </w:num>
  <w:num w:numId="6" w16cid:durableId="1417366427">
    <w:abstractNumId w:val="4"/>
  </w:num>
  <w:num w:numId="7" w16cid:durableId="1231233749">
    <w:abstractNumId w:val="14"/>
  </w:num>
  <w:num w:numId="8" w16cid:durableId="40905990">
    <w:abstractNumId w:val="12"/>
  </w:num>
  <w:num w:numId="9" w16cid:durableId="102043358">
    <w:abstractNumId w:val="10"/>
  </w:num>
  <w:num w:numId="10" w16cid:durableId="244457702">
    <w:abstractNumId w:val="13"/>
  </w:num>
  <w:num w:numId="11" w16cid:durableId="817725160">
    <w:abstractNumId w:val="11"/>
  </w:num>
  <w:num w:numId="12" w16cid:durableId="912473890">
    <w:abstractNumId w:val="2"/>
  </w:num>
  <w:num w:numId="13" w16cid:durableId="984818164">
    <w:abstractNumId w:val="7"/>
  </w:num>
  <w:num w:numId="14" w16cid:durableId="1196456951">
    <w:abstractNumId w:val="0"/>
  </w:num>
  <w:num w:numId="15" w16cid:durableId="1700857497">
    <w:abstractNumId w:val="3"/>
    <w:lvlOverride w:ilvl="0">
      <w:startOverride w:val="1"/>
    </w:lvlOverride>
    <w:lvlOverride w:ilvl="1"/>
    <w:lvlOverride w:ilvl="2"/>
    <w:lvlOverride w:ilvl="3"/>
    <w:lvlOverride w:ilvl="4"/>
    <w:lvlOverride w:ilvl="5"/>
    <w:lvlOverride w:ilvl="6"/>
    <w:lvlOverride w:ilvl="7"/>
    <w:lvlOverride w:ilvl="8"/>
  </w:num>
  <w:num w:numId="16" w16cid:durableId="2135825811">
    <w:abstractNumId w:val="5"/>
    <w:lvlOverride w:ilvl="0">
      <w:startOverride w:val="1"/>
    </w:lvlOverride>
    <w:lvlOverride w:ilvl="1"/>
    <w:lvlOverride w:ilvl="2"/>
    <w:lvlOverride w:ilvl="3"/>
    <w:lvlOverride w:ilvl="4"/>
    <w:lvlOverride w:ilvl="5"/>
    <w:lvlOverride w:ilvl="6"/>
    <w:lvlOverride w:ilvl="7"/>
    <w:lvlOverride w:ilvl="8"/>
  </w:num>
  <w:num w:numId="17" w16cid:durableId="691807595">
    <w:abstractNumId w:val="15"/>
  </w:num>
  <w:num w:numId="18" w16cid:durableId="947811279">
    <w:abstractNumId w:val="16"/>
  </w:num>
  <w:num w:numId="19" w16cid:durableId="1136683729">
    <w:abstractNumId w:val="9"/>
  </w:num>
  <w:num w:numId="20" w16cid:durableId="1358778578">
    <w:abstractNumId w:val="17"/>
  </w:num>
  <w:num w:numId="21" w16cid:durableId="14907522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73"/>
    <w:rsid w:val="00020218"/>
    <w:rsid w:val="000237AA"/>
    <w:rsid w:val="00027110"/>
    <w:rsid w:val="000326AD"/>
    <w:rsid w:val="0003793E"/>
    <w:rsid w:val="00071001"/>
    <w:rsid w:val="000718E9"/>
    <w:rsid w:val="000779C1"/>
    <w:rsid w:val="00077AD5"/>
    <w:rsid w:val="00090838"/>
    <w:rsid w:val="00097080"/>
    <w:rsid w:val="000A3404"/>
    <w:rsid w:val="000B456F"/>
    <w:rsid w:val="000C3675"/>
    <w:rsid w:val="000C6D2A"/>
    <w:rsid w:val="000C71F4"/>
    <w:rsid w:val="000D33EC"/>
    <w:rsid w:val="000E0B10"/>
    <w:rsid w:val="000E59A2"/>
    <w:rsid w:val="000E7954"/>
    <w:rsid w:val="000F46CA"/>
    <w:rsid w:val="00132322"/>
    <w:rsid w:val="00140E0D"/>
    <w:rsid w:val="00147C61"/>
    <w:rsid w:val="0015408F"/>
    <w:rsid w:val="00160648"/>
    <w:rsid w:val="0016664A"/>
    <w:rsid w:val="00166968"/>
    <w:rsid w:val="001706B3"/>
    <w:rsid w:val="0017320B"/>
    <w:rsid w:val="001778F1"/>
    <w:rsid w:val="0018334F"/>
    <w:rsid w:val="00183E73"/>
    <w:rsid w:val="00197710"/>
    <w:rsid w:val="001B7A7A"/>
    <w:rsid w:val="001C3129"/>
    <w:rsid w:val="001D619B"/>
    <w:rsid w:val="001D6D4E"/>
    <w:rsid w:val="001F488C"/>
    <w:rsid w:val="00204B94"/>
    <w:rsid w:val="002355B0"/>
    <w:rsid w:val="00255DA4"/>
    <w:rsid w:val="002658CD"/>
    <w:rsid w:val="00273DDB"/>
    <w:rsid w:val="00284979"/>
    <w:rsid w:val="00295D68"/>
    <w:rsid w:val="002B0546"/>
    <w:rsid w:val="002B6B47"/>
    <w:rsid w:val="002D2F17"/>
    <w:rsid w:val="002D461C"/>
    <w:rsid w:val="002D6355"/>
    <w:rsid w:val="002E26D6"/>
    <w:rsid w:val="002E46C1"/>
    <w:rsid w:val="00313110"/>
    <w:rsid w:val="00335593"/>
    <w:rsid w:val="00341F03"/>
    <w:rsid w:val="00344D95"/>
    <w:rsid w:val="00347C33"/>
    <w:rsid w:val="00353960"/>
    <w:rsid w:val="00376F81"/>
    <w:rsid w:val="00383797"/>
    <w:rsid w:val="003A27AB"/>
    <w:rsid w:val="003A3E51"/>
    <w:rsid w:val="003B1C29"/>
    <w:rsid w:val="003C61B6"/>
    <w:rsid w:val="003D7680"/>
    <w:rsid w:val="003D7F5B"/>
    <w:rsid w:val="003E4FB1"/>
    <w:rsid w:val="003E6B8B"/>
    <w:rsid w:val="004074DF"/>
    <w:rsid w:val="00410BE2"/>
    <w:rsid w:val="0041203B"/>
    <w:rsid w:val="00414F82"/>
    <w:rsid w:val="00415CF9"/>
    <w:rsid w:val="00416B08"/>
    <w:rsid w:val="00432236"/>
    <w:rsid w:val="00435315"/>
    <w:rsid w:val="004456BB"/>
    <w:rsid w:val="00450500"/>
    <w:rsid w:val="004514ED"/>
    <w:rsid w:val="004628F8"/>
    <w:rsid w:val="00465431"/>
    <w:rsid w:val="00466B48"/>
    <w:rsid w:val="00490D76"/>
    <w:rsid w:val="0049371D"/>
    <w:rsid w:val="004A323F"/>
    <w:rsid w:val="004B7565"/>
    <w:rsid w:val="004C05F3"/>
    <w:rsid w:val="004C2E94"/>
    <w:rsid w:val="004E73B4"/>
    <w:rsid w:val="004E7F36"/>
    <w:rsid w:val="004F7F5F"/>
    <w:rsid w:val="00503366"/>
    <w:rsid w:val="0050336E"/>
    <w:rsid w:val="005042FD"/>
    <w:rsid w:val="00542D12"/>
    <w:rsid w:val="005452A4"/>
    <w:rsid w:val="00546AFE"/>
    <w:rsid w:val="005763E8"/>
    <w:rsid w:val="0058190A"/>
    <w:rsid w:val="00584EBD"/>
    <w:rsid w:val="0058778F"/>
    <w:rsid w:val="005A535E"/>
    <w:rsid w:val="005B2E4E"/>
    <w:rsid w:val="005C6A72"/>
    <w:rsid w:val="005D4ABC"/>
    <w:rsid w:val="005E3BFC"/>
    <w:rsid w:val="005F1983"/>
    <w:rsid w:val="005F1ECB"/>
    <w:rsid w:val="00621D24"/>
    <w:rsid w:val="00650B7E"/>
    <w:rsid w:val="00674E06"/>
    <w:rsid w:val="00676DEA"/>
    <w:rsid w:val="006824C8"/>
    <w:rsid w:val="00683A44"/>
    <w:rsid w:val="00684106"/>
    <w:rsid w:val="006866F8"/>
    <w:rsid w:val="00687AED"/>
    <w:rsid w:val="006A1D36"/>
    <w:rsid w:val="006A21CD"/>
    <w:rsid w:val="006A4883"/>
    <w:rsid w:val="006B4F94"/>
    <w:rsid w:val="006B6225"/>
    <w:rsid w:val="006B66D0"/>
    <w:rsid w:val="006B75EB"/>
    <w:rsid w:val="006C0ACD"/>
    <w:rsid w:val="006E61D2"/>
    <w:rsid w:val="006F0572"/>
    <w:rsid w:val="006F0F7F"/>
    <w:rsid w:val="00700B41"/>
    <w:rsid w:val="007135CF"/>
    <w:rsid w:val="00721C29"/>
    <w:rsid w:val="00743861"/>
    <w:rsid w:val="00755E57"/>
    <w:rsid w:val="0075621B"/>
    <w:rsid w:val="00773477"/>
    <w:rsid w:val="00792065"/>
    <w:rsid w:val="007947BD"/>
    <w:rsid w:val="007A5344"/>
    <w:rsid w:val="007B13BB"/>
    <w:rsid w:val="007B33AA"/>
    <w:rsid w:val="007B51E4"/>
    <w:rsid w:val="007C2437"/>
    <w:rsid w:val="007C3742"/>
    <w:rsid w:val="007C7341"/>
    <w:rsid w:val="007D142F"/>
    <w:rsid w:val="007D32AA"/>
    <w:rsid w:val="007D421E"/>
    <w:rsid w:val="007D50C8"/>
    <w:rsid w:val="007D5FA6"/>
    <w:rsid w:val="007E10BC"/>
    <w:rsid w:val="007E2F3A"/>
    <w:rsid w:val="007F0E0C"/>
    <w:rsid w:val="007F3CA3"/>
    <w:rsid w:val="007F54C8"/>
    <w:rsid w:val="008158F4"/>
    <w:rsid w:val="008202F4"/>
    <w:rsid w:val="00823A93"/>
    <w:rsid w:val="00830B35"/>
    <w:rsid w:val="00836E77"/>
    <w:rsid w:val="008375C3"/>
    <w:rsid w:val="008450AA"/>
    <w:rsid w:val="00847AAF"/>
    <w:rsid w:val="00855289"/>
    <w:rsid w:val="00872478"/>
    <w:rsid w:val="008904B5"/>
    <w:rsid w:val="00892C98"/>
    <w:rsid w:val="008B3CFE"/>
    <w:rsid w:val="008C2ACF"/>
    <w:rsid w:val="008C2E5D"/>
    <w:rsid w:val="008C684A"/>
    <w:rsid w:val="008D184A"/>
    <w:rsid w:val="008E365B"/>
    <w:rsid w:val="008F0FE1"/>
    <w:rsid w:val="008F5F21"/>
    <w:rsid w:val="00901750"/>
    <w:rsid w:val="00903182"/>
    <w:rsid w:val="00906EF0"/>
    <w:rsid w:val="009275AE"/>
    <w:rsid w:val="00933646"/>
    <w:rsid w:val="00940C2F"/>
    <w:rsid w:val="00940EE1"/>
    <w:rsid w:val="009420F2"/>
    <w:rsid w:val="009456E9"/>
    <w:rsid w:val="00954F19"/>
    <w:rsid w:val="00966F66"/>
    <w:rsid w:val="00993416"/>
    <w:rsid w:val="009C773D"/>
    <w:rsid w:val="009D2EE0"/>
    <w:rsid w:val="009D7169"/>
    <w:rsid w:val="009F224D"/>
    <w:rsid w:val="009F5825"/>
    <w:rsid w:val="00A01E63"/>
    <w:rsid w:val="00A03090"/>
    <w:rsid w:val="00A04C01"/>
    <w:rsid w:val="00A2194F"/>
    <w:rsid w:val="00A21FAE"/>
    <w:rsid w:val="00A47F8C"/>
    <w:rsid w:val="00A61F7F"/>
    <w:rsid w:val="00A7342E"/>
    <w:rsid w:val="00A75BDC"/>
    <w:rsid w:val="00AA4A29"/>
    <w:rsid w:val="00AB4DB6"/>
    <w:rsid w:val="00AC456D"/>
    <w:rsid w:val="00AC77BD"/>
    <w:rsid w:val="00AD330C"/>
    <w:rsid w:val="00AE74DC"/>
    <w:rsid w:val="00AF27CF"/>
    <w:rsid w:val="00AF2E84"/>
    <w:rsid w:val="00AF3199"/>
    <w:rsid w:val="00AF5190"/>
    <w:rsid w:val="00B0113D"/>
    <w:rsid w:val="00B035CA"/>
    <w:rsid w:val="00B16251"/>
    <w:rsid w:val="00B202A7"/>
    <w:rsid w:val="00B61BDF"/>
    <w:rsid w:val="00B631FF"/>
    <w:rsid w:val="00B746E9"/>
    <w:rsid w:val="00B75752"/>
    <w:rsid w:val="00B9015C"/>
    <w:rsid w:val="00B92335"/>
    <w:rsid w:val="00B97DE4"/>
    <w:rsid w:val="00BA5A80"/>
    <w:rsid w:val="00BC608B"/>
    <w:rsid w:val="00BF6A25"/>
    <w:rsid w:val="00C40073"/>
    <w:rsid w:val="00C4080D"/>
    <w:rsid w:val="00C55E1D"/>
    <w:rsid w:val="00C56CAA"/>
    <w:rsid w:val="00C60971"/>
    <w:rsid w:val="00C65DB6"/>
    <w:rsid w:val="00C706DA"/>
    <w:rsid w:val="00C70A89"/>
    <w:rsid w:val="00C77495"/>
    <w:rsid w:val="00C81E62"/>
    <w:rsid w:val="00C82DCA"/>
    <w:rsid w:val="00C844E1"/>
    <w:rsid w:val="00C854BB"/>
    <w:rsid w:val="00C87831"/>
    <w:rsid w:val="00C924F1"/>
    <w:rsid w:val="00C93D75"/>
    <w:rsid w:val="00CA0538"/>
    <w:rsid w:val="00CB58A1"/>
    <w:rsid w:val="00CB77A0"/>
    <w:rsid w:val="00CC6AC7"/>
    <w:rsid w:val="00CE624D"/>
    <w:rsid w:val="00D03FCB"/>
    <w:rsid w:val="00D0535F"/>
    <w:rsid w:val="00D067A2"/>
    <w:rsid w:val="00D07694"/>
    <w:rsid w:val="00D21AD3"/>
    <w:rsid w:val="00D2390C"/>
    <w:rsid w:val="00D35924"/>
    <w:rsid w:val="00D45ABD"/>
    <w:rsid w:val="00D46A6E"/>
    <w:rsid w:val="00D5210F"/>
    <w:rsid w:val="00D53440"/>
    <w:rsid w:val="00D702A5"/>
    <w:rsid w:val="00D75B40"/>
    <w:rsid w:val="00D8259A"/>
    <w:rsid w:val="00D84664"/>
    <w:rsid w:val="00D93869"/>
    <w:rsid w:val="00DD344E"/>
    <w:rsid w:val="00DF30EC"/>
    <w:rsid w:val="00DF34D6"/>
    <w:rsid w:val="00DF5C11"/>
    <w:rsid w:val="00E0043A"/>
    <w:rsid w:val="00E009FD"/>
    <w:rsid w:val="00E052C9"/>
    <w:rsid w:val="00E23537"/>
    <w:rsid w:val="00E36D18"/>
    <w:rsid w:val="00E43788"/>
    <w:rsid w:val="00E44BF7"/>
    <w:rsid w:val="00E54D21"/>
    <w:rsid w:val="00E7207F"/>
    <w:rsid w:val="00E74D30"/>
    <w:rsid w:val="00E81814"/>
    <w:rsid w:val="00E84C4A"/>
    <w:rsid w:val="00E90932"/>
    <w:rsid w:val="00EA06AB"/>
    <w:rsid w:val="00EA0B7A"/>
    <w:rsid w:val="00EB35C3"/>
    <w:rsid w:val="00EB43CA"/>
    <w:rsid w:val="00EC15D1"/>
    <w:rsid w:val="00ED36C4"/>
    <w:rsid w:val="00EE0F2D"/>
    <w:rsid w:val="00EF2056"/>
    <w:rsid w:val="00EF46F7"/>
    <w:rsid w:val="00F15264"/>
    <w:rsid w:val="00F155AD"/>
    <w:rsid w:val="00F27CE5"/>
    <w:rsid w:val="00F27F00"/>
    <w:rsid w:val="00F30102"/>
    <w:rsid w:val="00F37599"/>
    <w:rsid w:val="00F5666E"/>
    <w:rsid w:val="00F72217"/>
    <w:rsid w:val="00F8608B"/>
    <w:rsid w:val="00F90B9F"/>
    <w:rsid w:val="00FA0B17"/>
    <w:rsid w:val="00FA2062"/>
    <w:rsid w:val="00FA37D2"/>
    <w:rsid w:val="00FA70B1"/>
    <w:rsid w:val="00FB0462"/>
    <w:rsid w:val="00FB2B57"/>
    <w:rsid w:val="00FC4306"/>
    <w:rsid w:val="00FC62E2"/>
    <w:rsid w:val="00FD53DA"/>
    <w:rsid w:val="00FF41F1"/>
    <w:rsid w:val="00FF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5C35E"/>
  <w15:chartTrackingRefBased/>
  <w15:docId w15:val="{AE38E60E-5FD2-4866-AF4D-CF577D66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7A"/>
    <w:rPr>
      <w:b/>
      <w:sz w:val="24"/>
    </w:rPr>
  </w:style>
  <w:style w:type="paragraph" w:styleId="Heading1">
    <w:name w:val="heading 1"/>
    <w:basedOn w:val="Normal"/>
    <w:next w:val="Normal"/>
    <w:link w:val="Heading1Char"/>
    <w:uiPriority w:val="9"/>
    <w:qFormat/>
    <w:rsid w:val="006F0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E90932"/>
    <w:pPr>
      <w:widowControl w:val="0"/>
      <w:autoSpaceDE w:val="0"/>
      <w:autoSpaceDN w:val="0"/>
      <w:spacing w:before="201"/>
      <w:ind w:left="940" w:hanging="721"/>
      <w:outlineLvl w:val="1"/>
    </w:pPr>
    <w:rPr>
      <w:rFonts w:ascii="Cambria" w:eastAsia="Cambria" w:hAnsi="Cambria" w:cs="Cambria"/>
      <w:sz w:val="26"/>
      <w:szCs w:val="26"/>
      <w:lang w:eastAsia="en-GB" w:bidi="en-GB"/>
    </w:rPr>
  </w:style>
  <w:style w:type="paragraph" w:styleId="Heading3">
    <w:name w:val="heading 3"/>
    <w:basedOn w:val="Normal"/>
    <w:next w:val="Normal"/>
    <w:link w:val="Heading3Char"/>
    <w:uiPriority w:val="9"/>
    <w:unhideWhenUsed/>
    <w:qFormat/>
    <w:rsid w:val="00AC77B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073"/>
    <w:rPr>
      <w:color w:val="0563C1"/>
      <w:u w:val="single"/>
    </w:rPr>
  </w:style>
  <w:style w:type="character" w:styleId="FollowedHyperlink">
    <w:name w:val="FollowedHyperlink"/>
    <w:basedOn w:val="DefaultParagraphFont"/>
    <w:uiPriority w:val="99"/>
    <w:semiHidden/>
    <w:unhideWhenUsed/>
    <w:rsid w:val="00C40073"/>
    <w:rPr>
      <w:color w:val="954F72" w:themeColor="followedHyperlink"/>
      <w:u w:val="single"/>
    </w:rPr>
  </w:style>
  <w:style w:type="paragraph" w:styleId="BalloonText">
    <w:name w:val="Balloon Text"/>
    <w:basedOn w:val="Normal"/>
    <w:link w:val="BalloonTextChar"/>
    <w:uiPriority w:val="99"/>
    <w:semiHidden/>
    <w:unhideWhenUsed/>
    <w:rsid w:val="00FF7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7F9"/>
    <w:rPr>
      <w:rFonts w:ascii="Segoe UI" w:hAnsi="Segoe UI" w:cs="Segoe UI"/>
      <w:sz w:val="18"/>
      <w:szCs w:val="18"/>
    </w:rPr>
  </w:style>
  <w:style w:type="paragraph" w:styleId="Header">
    <w:name w:val="header"/>
    <w:basedOn w:val="Normal"/>
    <w:link w:val="HeaderChar"/>
    <w:uiPriority w:val="99"/>
    <w:unhideWhenUsed/>
    <w:rsid w:val="00FF77F9"/>
    <w:pPr>
      <w:tabs>
        <w:tab w:val="center" w:pos="4513"/>
        <w:tab w:val="right" w:pos="9026"/>
      </w:tabs>
    </w:pPr>
  </w:style>
  <w:style w:type="character" w:customStyle="1" w:styleId="HeaderChar">
    <w:name w:val="Header Char"/>
    <w:basedOn w:val="DefaultParagraphFont"/>
    <w:link w:val="Header"/>
    <w:uiPriority w:val="99"/>
    <w:rsid w:val="00FF77F9"/>
  </w:style>
  <w:style w:type="paragraph" w:styleId="Footer">
    <w:name w:val="footer"/>
    <w:basedOn w:val="Normal"/>
    <w:link w:val="FooterChar"/>
    <w:uiPriority w:val="99"/>
    <w:unhideWhenUsed/>
    <w:rsid w:val="00FF77F9"/>
    <w:pPr>
      <w:tabs>
        <w:tab w:val="center" w:pos="4513"/>
        <w:tab w:val="right" w:pos="9026"/>
      </w:tabs>
    </w:pPr>
  </w:style>
  <w:style w:type="character" w:customStyle="1" w:styleId="FooterChar">
    <w:name w:val="Footer Char"/>
    <w:basedOn w:val="DefaultParagraphFont"/>
    <w:link w:val="Footer"/>
    <w:uiPriority w:val="99"/>
    <w:rsid w:val="00FF77F9"/>
  </w:style>
  <w:style w:type="paragraph" w:customStyle="1" w:styleId="Default">
    <w:name w:val="Default"/>
    <w:rsid w:val="00E052C9"/>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E90932"/>
    <w:rPr>
      <w:rFonts w:ascii="Cambria" w:eastAsia="Cambria" w:hAnsi="Cambria" w:cs="Cambria"/>
      <w:sz w:val="26"/>
      <w:szCs w:val="26"/>
      <w:lang w:eastAsia="en-GB" w:bidi="en-GB"/>
    </w:rPr>
  </w:style>
  <w:style w:type="paragraph" w:styleId="BodyText">
    <w:name w:val="Body Text"/>
    <w:basedOn w:val="Normal"/>
    <w:link w:val="BodyTextChar"/>
    <w:uiPriority w:val="1"/>
    <w:qFormat/>
    <w:rsid w:val="00E90932"/>
    <w:pPr>
      <w:widowControl w:val="0"/>
      <w:autoSpaceDE w:val="0"/>
      <w:autoSpaceDN w:val="0"/>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E90932"/>
    <w:rPr>
      <w:rFonts w:ascii="Calibri" w:eastAsia="Calibri" w:hAnsi="Calibri" w:cs="Calibri"/>
      <w:sz w:val="24"/>
      <w:szCs w:val="24"/>
      <w:lang w:eastAsia="en-GB" w:bidi="en-GB"/>
    </w:rPr>
  </w:style>
  <w:style w:type="paragraph" w:styleId="ListParagraph">
    <w:name w:val="List Paragraph"/>
    <w:basedOn w:val="Normal"/>
    <w:uiPriority w:val="34"/>
    <w:qFormat/>
    <w:rsid w:val="00E90932"/>
    <w:pPr>
      <w:widowControl w:val="0"/>
      <w:autoSpaceDE w:val="0"/>
      <w:autoSpaceDN w:val="0"/>
      <w:ind w:left="940" w:hanging="360"/>
    </w:pPr>
    <w:rPr>
      <w:rFonts w:ascii="Calibri" w:eastAsia="Calibri" w:hAnsi="Calibri" w:cs="Calibri"/>
      <w:lang w:eastAsia="en-GB" w:bidi="en-GB"/>
    </w:rPr>
  </w:style>
  <w:style w:type="character" w:styleId="CommentReference">
    <w:name w:val="annotation reference"/>
    <w:basedOn w:val="DefaultParagraphFont"/>
    <w:uiPriority w:val="99"/>
    <w:semiHidden/>
    <w:unhideWhenUsed/>
    <w:rsid w:val="00F15264"/>
    <w:rPr>
      <w:sz w:val="16"/>
      <w:szCs w:val="16"/>
    </w:rPr>
  </w:style>
  <w:style w:type="paragraph" w:styleId="CommentText">
    <w:name w:val="annotation text"/>
    <w:basedOn w:val="Normal"/>
    <w:link w:val="CommentTextChar"/>
    <w:uiPriority w:val="99"/>
    <w:semiHidden/>
    <w:unhideWhenUsed/>
    <w:rsid w:val="00F15264"/>
    <w:rPr>
      <w:sz w:val="20"/>
      <w:szCs w:val="20"/>
    </w:rPr>
  </w:style>
  <w:style w:type="character" w:customStyle="1" w:styleId="CommentTextChar">
    <w:name w:val="Comment Text Char"/>
    <w:basedOn w:val="DefaultParagraphFont"/>
    <w:link w:val="CommentText"/>
    <w:uiPriority w:val="99"/>
    <w:semiHidden/>
    <w:rsid w:val="00F15264"/>
    <w:rPr>
      <w:sz w:val="20"/>
      <w:szCs w:val="20"/>
    </w:rPr>
  </w:style>
  <w:style w:type="paragraph" w:styleId="CommentSubject">
    <w:name w:val="annotation subject"/>
    <w:basedOn w:val="CommentText"/>
    <w:next w:val="CommentText"/>
    <w:link w:val="CommentSubjectChar"/>
    <w:uiPriority w:val="99"/>
    <w:semiHidden/>
    <w:unhideWhenUsed/>
    <w:rsid w:val="00F15264"/>
    <w:rPr>
      <w:b w:val="0"/>
      <w:bCs/>
    </w:rPr>
  </w:style>
  <w:style w:type="character" w:customStyle="1" w:styleId="CommentSubjectChar">
    <w:name w:val="Comment Subject Char"/>
    <w:basedOn w:val="CommentTextChar"/>
    <w:link w:val="CommentSubject"/>
    <w:uiPriority w:val="99"/>
    <w:semiHidden/>
    <w:rsid w:val="00F15264"/>
    <w:rPr>
      <w:b/>
      <w:bCs/>
      <w:sz w:val="20"/>
      <w:szCs w:val="20"/>
    </w:rPr>
  </w:style>
  <w:style w:type="paragraph" w:styleId="Caption">
    <w:name w:val="caption"/>
    <w:basedOn w:val="Normal"/>
    <w:next w:val="Normal"/>
    <w:uiPriority w:val="35"/>
    <w:unhideWhenUsed/>
    <w:qFormat/>
    <w:rsid w:val="00347C33"/>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687AED"/>
    <w:rPr>
      <w:color w:val="605E5C"/>
      <w:shd w:val="clear" w:color="auto" w:fill="E1DFDD"/>
    </w:rPr>
  </w:style>
  <w:style w:type="character" w:customStyle="1" w:styleId="Heading1Char">
    <w:name w:val="Heading 1 Char"/>
    <w:basedOn w:val="DefaultParagraphFont"/>
    <w:link w:val="Heading1"/>
    <w:uiPriority w:val="9"/>
    <w:rsid w:val="006F0572"/>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6F0572"/>
    <w:pPr>
      <w:spacing w:line="259" w:lineRule="auto"/>
      <w:outlineLvl w:val="9"/>
    </w:pPr>
    <w:rPr>
      <w:b w:val="0"/>
      <w:lang w:val="en-US"/>
    </w:rPr>
  </w:style>
  <w:style w:type="paragraph" w:styleId="TOC2">
    <w:name w:val="toc 2"/>
    <w:basedOn w:val="Normal"/>
    <w:next w:val="Normal"/>
    <w:autoRedefine/>
    <w:uiPriority w:val="39"/>
    <w:unhideWhenUsed/>
    <w:rsid w:val="006F0572"/>
    <w:pPr>
      <w:spacing w:after="100"/>
      <w:ind w:left="240"/>
    </w:pPr>
  </w:style>
  <w:style w:type="paragraph" w:styleId="NormalWeb">
    <w:name w:val="Normal (Web)"/>
    <w:basedOn w:val="Normal"/>
    <w:uiPriority w:val="99"/>
    <w:unhideWhenUsed/>
    <w:rsid w:val="00147C61"/>
    <w:pPr>
      <w:spacing w:before="100" w:beforeAutospacing="1" w:after="100" w:afterAutospacing="1"/>
    </w:pPr>
    <w:rPr>
      <w:rFonts w:ascii="Times New Roman" w:eastAsia="Calibri" w:hAnsi="Times New Roman" w:cs="Times New Roman"/>
      <w:b w:val="0"/>
      <w:szCs w:val="24"/>
      <w:lang w:eastAsia="en-GB"/>
    </w:rPr>
  </w:style>
  <w:style w:type="paragraph" w:styleId="Subtitle">
    <w:name w:val="Subtitle"/>
    <w:basedOn w:val="Normal"/>
    <w:next w:val="Normal"/>
    <w:link w:val="SubtitleChar"/>
    <w:uiPriority w:val="11"/>
    <w:qFormat/>
    <w:rsid w:val="00147C61"/>
    <w:pPr>
      <w:numPr>
        <w:ilvl w:val="1"/>
      </w:numPr>
      <w:spacing w:after="160" w:line="276" w:lineRule="auto"/>
    </w:pPr>
    <w:rPr>
      <w:rFonts w:asciiTheme="minorHAnsi" w:eastAsiaTheme="minorEastAsia" w:hAnsiTheme="minorHAnsi"/>
      <w:b w:val="0"/>
      <w:color w:val="5A5A5A" w:themeColor="text1" w:themeTint="A5"/>
      <w:spacing w:val="15"/>
      <w:sz w:val="22"/>
    </w:rPr>
  </w:style>
  <w:style w:type="character" w:customStyle="1" w:styleId="SubtitleChar">
    <w:name w:val="Subtitle Char"/>
    <w:basedOn w:val="DefaultParagraphFont"/>
    <w:link w:val="Subtitle"/>
    <w:uiPriority w:val="11"/>
    <w:rsid w:val="00147C61"/>
    <w:rPr>
      <w:rFonts w:asciiTheme="minorHAnsi" w:eastAsiaTheme="minorEastAsia" w:hAnsiTheme="minorHAnsi"/>
      <w:color w:val="5A5A5A" w:themeColor="text1" w:themeTint="A5"/>
      <w:spacing w:val="15"/>
    </w:rPr>
  </w:style>
  <w:style w:type="character" w:customStyle="1" w:styleId="Heading3Char">
    <w:name w:val="Heading 3 Char"/>
    <w:basedOn w:val="DefaultParagraphFont"/>
    <w:link w:val="Heading3"/>
    <w:uiPriority w:val="9"/>
    <w:rsid w:val="00AC77BD"/>
    <w:rPr>
      <w:rFonts w:asciiTheme="majorHAnsi" w:eastAsiaTheme="majorEastAsia" w:hAnsiTheme="majorHAnsi" w:cstheme="majorBidi"/>
      <w:b/>
      <w:color w:val="1F3763" w:themeColor="accent1" w:themeShade="7F"/>
      <w:sz w:val="24"/>
      <w:szCs w:val="24"/>
    </w:rPr>
  </w:style>
  <w:style w:type="paragraph" w:styleId="TOC3">
    <w:name w:val="toc 3"/>
    <w:basedOn w:val="Normal"/>
    <w:next w:val="Normal"/>
    <w:autoRedefine/>
    <w:uiPriority w:val="39"/>
    <w:unhideWhenUsed/>
    <w:rsid w:val="00D35924"/>
    <w:pPr>
      <w:tabs>
        <w:tab w:val="left" w:pos="709"/>
        <w:tab w:val="right" w:leader="dot" w:pos="9016"/>
      </w:tabs>
      <w:spacing w:after="100"/>
      <w:ind w:left="284"/>
    </w:pPr>
  </w:style>
  <w:style w:type="paragraph" w:styleId="BodyTextIndent3">
    <w:name w:val="Body Text Indent 3"/>
    <w:basedOn w:val="Normal"/>
    <w:link w:val="BodyTextIndent3Char"/>
    <w:uiPriority w:val="99"/>
    <w:semiHidden/>
    <w:unhideWhenUsed/>
    <w:rsid w:val="000970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97080"/>
    <w:rPr>
      <w:b/>
      <w:sz w:val="16"/>
      <w:szCs w:val="16"/>
    </w:rPr>
  </w:style>
  <w:style w:type="paragraph" w:customStyle="1" w:styleId="Martin5">
    <w:name w:val="Martin 5"/>
    <w:basedOn w:val="Normal"/>
    <w:rsid w:val="00097080"/>
    <w:pPr>
      <w:tabs>
        <w:tab w:val="left" w:pos="432"/>
      </w:tabs>
      <w:spacing w:line="260" w:lineRule="exact"/>
    </w:pPr>
    <w:rPr>
      <w:rFonts w:eastAsia="Times New Roman" w:cs="Tahoma"/>
      <w:b w:val="0"/>
      <w:w w:val="110"/>
      <w:sz w:val="18"/>
      <w:szCs w:val="24"/>
    </w:rPr>
  </w:style>
  <w:style w:type="paragraph" w:customStyle="1" w:styleId="bodytext0">
    <w:name w:val="bodytext"/>
    <w:basedOn w:val="Normal"/>
    <w:rsid w:val="00097080"/>
    <w:pPr>
      <w:spacing w:before="100" w:beforeAutospacing="1" w:after="100" w:afterAutospacing="1"/>
    </w:pPr>
    <w:rPr>
      <w:rFonts w:ascii="Verdana" w:eastAsia="Arial Unicode MS" w:hAnsi="Verdana" w:cs="Arial Unicode MS"/>
      <w:b w:val="0"/>
      <w:szCs w:val="24"/>
    </w:rPr>
  </w:style>
  <w:style w:type="table" w:customStyle="1" w:styleId="TableGrid1">
    <w:name w:val="Table Grid1"/>
    <w:basedOn w:val="TableNormal"/>
    <w:next w:val="TableGrid"/>
    <w:uiPriority w:val="39"/>
    <w:rsid w:val="00DF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5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392807">
      <w:bodyDiv w:val="1"/>
      <w:marLeft w:val="0"/>
      <w:marRight w:val="0"/>
      <w:marTop w:val="0"/>
      <w:marBottom w:val="0"/>
      <w:divBdr>
        <w:top w:val="none" w:sz="0" w:space="0" w:color="auto"/>
        <w:left w:val="none" w:sz="0" w:space="0" w:color="auto"/>
        <w:bottom w:val="none" w:sz="0" w:space="0" w:color="auto"/>
        <w:right w:val="none" w:sz="0" w:space="0" w:color="auto"/>
      </w:divBdr>
    </w:div>
    <w:div w:id="20946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vance-he.ac.uk/guidance/equality-diversity-and-inclusion" TargetMode="External"/><Relationship Id="rId18" Type="http://schemas.openxmlformats.org/officeDocument/2006/relationships/hyperlink" Target="https://www2.worc.ac.uk/inclusiontoolkit/a3-assess-and-give-feedback.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qualityhumanrights.com/en" TargetMode="External"/><Relationship Id="rId17" Type="http://schemas.openxmlformats.org/officeDocument/2006/relationships/hyperlink" Target="https://www2.worc.ac.uk/inclusiontoolkit/" TargetMode="External"/><Relationship Id="rId2" Type="http://schemas.openxmlformats.org/officeDocument/2006/relationships/customXml" Target="../customXml/item2.xml"/><Relationship Id="rId16" Type="http://schemas.openxmlformats.org/officeDocument/2006/relationships/hyperlink" Target="https://rteworcester.wp.worc.ac.uk/wp-content/uploads/2021/01/Staff-Guidance-for-inclusive-assessments_Jan-20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2.worc.ac.uk/aqu/documents/AssessmentPolicy.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vance-he.ac.uk/guidance/equality-diversity-and-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931e1-9864-41d7-82d3-3f3c4cf9c473">
      <Terms xmlns="http://schemas.microsoft.com/office/infopath/2007/PartnerControls"/>
    </lcf76f155ced4ddcb4097134ff3c332f>
    <TaxCatchAll xmlns="2ab40f22-c993-49b7-8689-273f7d7a3b1b" xsi:nil="true"/>
    <Action xmlns="42a931e1-9864-41d7-82d3-3f3c4cf9c47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41FBA38B535A48BA20562E1550534A" ma:contentTypeVersion="14" ma:contentTypeDescription="Create a new document." ma:contentTypeScope="" ma:versionID="37fe7c98cb03403abc2f7c2a657d5fd7">
  <xsd:schema xmlns:xsd="http://www.w3.org/2001/XMLSchema" xmlns:xs="http://www.w3.org/2001/XMLSchema" xmlns:p="http://schemas.microsoft.com/office/2006/metadata/properties" xmlns:ns2="42a931e1-9864-41d7-82d3-3f3c4cf9c473" xmlns:ns3="2ab40f22-c993-49b7-8689-273f7d7a3b1b" targetNamespace="http://schemas.microsoft.com/office/2006/metadata/properties" ma:root="true" ma:fieldsID="be3452f6e3f273ffc89a27ce7d22abc1" ns2:_="" ns3:_="">
    <xsd:import namespace="42a931e1-9864-41d7-82d3-3f3c4cf9c473"/>
    <xsd:import namespace="2ab40f22-c993-49b7-8689-273f7d7a3b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ction"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931e1-9864-41d7-82d3-3f3c4cf9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ction" ma:index="18" nillable="true" ma:displayName="Action" ma:format="Dropdown" ma:internalName="Action">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b40f22-c993-49b7-8689-273f7d7a3b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0c659df-5ab0-4729-ad86-6b96b5993901}" ma:internalName="TaxCatchAll" ma:showField="CatchAllData" ma:web="2ab40f22-c993-49b7-8689-273f7d7a3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71814-AEF8-4FD2-B79A-5E3649995B7D}">
  <ds:schemaRefs>
    <ds:schemaRef ds:uri="http://schemas.microsoft.com/sharepoint/v3/contenttype/forms"/>
  </ds:schemaRefs>
</ds:datastoreItem>
</file>

<file path=customXml/itemProps2.xml><?xml version="1.0" encoding="utf-8"?>
<ds:datastoreItem xmlns:ds="http://schemas.openxmlformats.org/officeDocument/2006/customXml" ds:itemID="{2D865E03-32A0-48D8-B7BA-1C3C1A17B48B}">
  <ds:schemaRefs>
    <ds:schemaRef ds:uri="http://schemas.openxmlformats.org/officeDocument/2006/bibliography"/>
  </ds:schemaRefs>
</ds:datastoreItem>
</file>

<file path=customXml/itemProps3.xml><?xml version="1.0" encoding="utf-8"?>
<ds:datastoreItem xmlns:ds="http://schemas.openxmlformats.org/officeDocument/2006/customXml" ds:itemID="{0141FC9B-1404-4ADA-847F-DC140602BFD6}">
  <ds:schemaRefs>
    <ds:schemaRef ds:uri="http://schemas.microsoft.com/office/2006/metadata/properties"/>
    <ds:schemaRef ds:uri="http://schemas.microsoft.com/office/infopath/2007/PartnerControls"/>
    <ds:schemaRef ds:uri="42a931e1-9864-41d7-82d3-3f3c4cf9c473"/>
    <ds:schemaRef ds:uri="2ab40f22-c993-49b7-8689-273f7d7a3b1b"/>
  </ds:schemaRefs>
</ds:datastoreItem>
</file>

<file path=customXml/itemProps4.xml><?xml version="1.0" encoding="utf-8"?>
<ds:datastoreItem xmlns:ds="http://schemas.openxmlformats.org/officeDocument/2006/customXml" ds:itemID="{AA196514-40A2-41AD-AEFB-58A787AC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931e1-9864-41d7-82d3-3f3c4cf9c473"/>
    <ds:schemaRef ds:uri="2ab40f22-c993-49b7-8689-273f7d7a3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15206</CharactersWithSpaces>
  <SharedDoc>false</SharedDoc>
  <HLinks>
    <vt:vector size="108" baseType="variant">
      <vt:variant>
        <vt:i4>4325395</vt:i4>
      </vt:variant>
      <vt:variant>
        <vt:i4>159</vt:i4>
      </vt:variant>
      <vt:variant>
        <vt:i4>0</vt:i4>
      </vt:variant>
      <vt:variant>
        <vt:i4>5</vt:i4>
      </vt:variant>
      <vt:variant>
        <vt:lpwstr>https://www2.worc.ac.uk/inclusiontoolkit/a3-assess-and-give-feedback.html</vt:lpwstr>
      </vt:variant>
      <vt:variant>
        <vt:lpwstr/>
      </vt:variant>
      <vt:variant>
        <vt:i4>6029396</vt:i4>
      </vt:variant>
      <vt:variant>
        <vt:i4>156</vt:i4>
      </vt:variant>
      <vt:variant>
        <vt:i4>0</vt:i4>
      </vt:variant>
      <vt:variant>
        <vt:i4>5</vt:i4>
      </vt:variant>
      <vt:variant>
        <vt:lpwstr>https://www2.worc.ac.uk/inclusiontoolkit/</vt:lpwstr>
      </vt:variant>
      <vt:variant>
        <vt:lpwstr/>
      </vt:variant>
      <vt:variant>
        <vt:i4>1179674</vt:i4>
      </vt:variant>
      <vt:variant>
        <vt:i4>153</vt:i4>
      </vt:variant>
      <vt:variant>
        <vt:i4>0</vt:i4>
      </vt:variant>
      <vt:variant>
        <vt:i4>5</vt:i4>
      </vt:variant>
      <vt:variant>
        <vt:lpwstr>https://rteworcester.files.wordpress.com/2017/11/staff-guidance-for-inclusive-assessments-and-making-reasonable-adjustments-october-2017.pdf</vt:lpwstr>
      </vt:variant>
      <vt:variant>
        <vt:lpwstr/>
      </vt:variant>
      <vt:variant>
        <vt:i4>6160460</vt:i4>
      </vt:variant>
      <vt:variant>
        <vt:i4>150</vt:i4>
      </vt:variant>
      <vt:variant>
        <vt:i4>0</vt:i4>
      </vt:variant>
      <vt:variant>
        <vt:i4>5</vt:i4>
      </vt:variant>
      <vt:variant>
        <vt:lpwstr>http://www.worc.ac.uk/aqu/documents/AssessmentPolicy.pdf</vt:lpwstr>
      </vt:variant>
      <vt:variant>
        <vt:lpwstr/>
      </vt:variant>
      <vt:variant>
        <vt:i4>5439514</vt:i4>
      </vt:variant>
      <vt:variant>
        <vt:i4>147</vt:i4>
      </vt:variant>
      <vt:variant>
        <vt:i4>0</vt:i4>
      </vt:variant>
      <vt:variant>
        <vt:i4>5</vt:i4>
      </vt:variant>
      <vt:variant>
        <vt:lpwstr>http://www.ecu.ac.uk/wp-content/uploads/external/managing-reasonable-adjustments-in-higher-education.pdf</vt:lpwstr>
      </vt:variant>
      <vt:variant>
        <vt:lpwstr/>
      </vt:variant>
      <vt:variant>
        <vt:i4>7077991</vt:i4>
      </vt:variant>
      <vt:variant>
        <vt:i4>144</vt:i4>
      </vt:variant>
      <vt:variant>
        <vt:i4>0</vt:i4>
      </vt:variant>
      <vt:variant>
        <vt:i4>5</vt:i4>
      </vt:variant>
      <vt:variant>
        <vt:lpwstr>https://www.advance-he.ac.uk/guidance/equality-diversity-and-inclusion</vt:lpwstr>
      </vt:variant>
      <vt:variant>
        <vt:lpwstr/>
      </vt:variant>
      <vt:variant>
        <vt:i4>3997754</vt:i4>
      </vt:variant>
      <vt:variant>
        <vt:i4>141</vt:i4>
      </vt:variant>
      <vt:variant>
        <vt:i4>0</vt:i4>
      </vt:variant>
      <vt:variant>
        <vt:i4>5</vt:i4>
      </vt:variant>
      <vt:variant>
        <vt:lpwstr>https://www.equalityhumanrights.com/en</vt:lpwstr>
      </vt:variant>
      <vt:variant>
        <vt:lpwstr/>
      </vt:variant>
      <vt:variant>
        <vt:i4>1376307</vt:i4>
      </vt:variant>
      <vt:variant>
        <vt:i4>62</vt:i4>
      </vt:variant>
      <vt:variant>
        <vt:i4>0</vt:i4>
      </vt:variant>
      <vt:variant>
        <vt:i4>5</vt:i4>
      </vt:variant>
      <vt:variant>
        <vt:lpwstr/>
      </vt:variant>
      <vt:variant>
        <vt:lpwstr>_Toc76720036</vt:lpwstr>
      </vt:variant>
      <vt:variant>
        <vt:i4>1441843</vt:i4>
      </vt:variant>
      <vt:variant>
        <vt:i4>56</vt:i4>
      </vt:variant>
      <vt:variant>
        <vt:i4>0</vt:i4>
      </vt:variant>
      <vt:variant>
        <vt:i4>5</vt:i4>
      </vt:variant>
      <vt:variant>
        <vt:lpwstr/>
      </vt:variant>
      <vt:variant>
        <vt:lpwstr>_Toc76720035</vt:lpwstr>
      </vt:variant>
      <vt:variant>
        <vt:i4>1507379</vt:i4>
      </vt:variant>
      <vt:variant>
        <vt:i4>50</vt:i4>
      </vt:variant>
      <vt:variant>
        <vt:i4>0</vt:i4>
      </vt:variant>
      <vt:variant>
        <vt:i4>5</vt:i4>
      </vt:variant>
      <vt:variant>
        <vt:lpwstr/>
      </vt:variant>
      <vt:variant>
        <vt:lpwstr>_Toc76720034</vt:lpwstr>
      </vt:variant>
      <vt:variant>
        <vt:i4>1048627</vt:i4>
      </vt:variant>
      <vt:variant>
        <vt:i4>44</vt:i4>
      </vt:variant>
      <vt:variant>
        <vt:i4>0</vt:i4>
      </vt:variant>
      <vt:variant>
        <vt:i4>5</vt:i4>
      </vt:variant>
      <vt:variant>
        <vt:lpwstr/>
      </vt:variant>
      <vt:variant>
        <vt:lpwstr>_Toc76720033</vt:lpwstr>
      </vt:variant>
      <vt:variant>
        <vt:i4>1114163</vt:i4>
      </vt:variant>
      <vt:variant>
        <vt:i4>38</vt:i4>
      </vt:variant>
      <vt:variant>
        <vt:i4>0</vt:i4>
      </vt:variant>
      <vt:variant>
        <vt:i4>5</vt:i4>
      </vt:variant>
      <vt:variant>
        <vt:lpwstr/>
      </vt:variant>
      <vt:variant>
        <vt:lpwstr>_Toc76720032</vt:lpwstr>
      </vt:variant>
      <vt:variant>
        <vt:i4>1179699</vt:i4>
      </vt:variant>
      <vt:variant>
        <vt:i4>32</vt:i4>
      </vt:variant>
      <vt:variant>
        <vt:i4>0</vt:i4>
      </vt:variant>
      <vt:variant>
        <vt:i4>5</vt:i4>
      </vt:variant>
      <vt:variant>
        <vt:lpwstr/>
      </vt:variant>
      <vt:variant>
        <vt:lpwstr>_Toc76720031</vt:lpwstr>
      </vt:variant>
      <vt:variant>
        <vt:i4>1245235</vt:i4>
      </vt:variant>
      <vt:variant>
        <vt:i4>26</vt:i4>
      </vt:variant>
      <vt:variant>
        <vt:i4>0</vt:i4>
      </vt:variant>
      <vt:variant>
        <vt:i4>5</vt:i4>
      </vt:variant>
      <vt:variant>
        <vt:lpwstr/>
      </vt:variant>
      <vt:variant>
        <vt:lpwstr>_Toc76720030</vt:lpwstr>
      </vt:variant>
      <vt:variant>
        <vt:i4>1703986</vt:i4>
      </vt:variant>
      <vt:variant>
        <vt:i4>20</vt:i4>
      </vt:variant>
      <vt:variant>
        <vt:i4>0</vt:i4>
      </vt:variant>
      <vt:variant>
        <vt:i4>5</vt:i4>
      </vt:variant>
      <vt:variant>
        <vt:lpwstr/>
      </vt:variant>
      <vt:variant>
        <vt:lpwstr>_Toc76720029</vt:lpwstr>
      </vt:variant>
      <vt:variant>
        <vt:i4>1769522</vt:i4>
      </vt:variant>
      <vt:variant>
        <vt:i4>14</vt:i4>
      </vt:variant>
      <vt:variant>
        <vt:i4>0</vt:i4>
      </vt:variant>
      <vt:variant>
        <vt:i4>5</vt:i4>
      </vt:variant>
      <vt:variant>
        <vt:lpwstr/>
      </vt:variant>
      <vt:variant>
        <vt:lpwstr>_Toc76720028</vt:lpwstr>
      </vt:variant>
      <vt:variant>
        <vt:i4>1310770</vt:i4>
      </vt:variant>
      <vt:variant>
        <vt:i4>8</vt:i4>
      </vt:variant>
      <vt:variant>
        <vt:i4>0</vt:i4>
      </vt:variant>
      <vt:variant>
        <vt:i4>5</vt:i4>
      </vt:variant>
      <vt:variant>
        <vt:lpwstr/>
      </vt:variant>
      <vt:variant>
        <vt:lpwstr>_Toc76720027</vt:lpwstr>
      </vt:variant>
      <vt:variant>
        <vt:i4>1376306</vt:i4>
      </vt:variant>
      <vt:variant>
        <vt:i4>2</vt:i4>
      </vt:variant>
      <vt:variant>
        <vt:i4>0</vt:i4>
      </vt:variant>
      <vt:variant>
        <vt:i4>5</vt:i4>
      </vt:variant>
      <vt:variant>
        <vt:lpwstr/>
      </vt:variant>
      <vt:variant>
        <vt:lpwstr>_Toc76720026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Assessment Policy July 2021 V4.2</dc:title>
  <dc:subject>
  </dc:subject>
  <dc:creator>Maureen Beckwith</dc:creator>
  <cp:keywords>
  </cp:keywords>
  <dc:description>
  </dc:description>
  <cp:lastModifiedBy>Zoe</cp:lastModifiedBy>
  <cp:revision>4</cp:revision>
  <cp:lastPrinted>2022-11-18T13:23:00Z</cp:lastPrinted>
  <dcterms:created xsi:type="dcterms:W3CDTF">2024-04-19T14:44:00Z</dcterms:created>
  <dcterms:modified xsi:type="dcterms:W3CDTF">2024-04-22T12:19:41Z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0x010100D841FBA38B535A48BA20562E1550534A</vt:lpwstr>
  </property>
  <property fmtid="{D5CDD505-2E9C-101B-9397-08002B2CF9AE}" pid="3" name="MediaServiceImageTags">
    <vt:lpwstr/>
  </property>
</Properties>
</file>