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6E9B" w:rsidR="00867265" w:rsidP="000C7D9E" w:rsidRDefault="00195445" w14:paraId="7C330F1F" w14:textId="38878335">
      <w:pPr>
        <w:pStyle w:val="Title"/>
        <w:rPr>
          <w:sz w:val="36"/>
          <w:szCs w:val="36"/>
        </w:rPr>
      </w:pPr>
      <w:r w:rsidRPr="00606E9B">
        <w:rPr>
          <w:sz w:val="52"/>
          <w:szCs w:val="52"/>
        </w:rPr>
        <w:t xml:space="preserve">ITaP Practicable </w:t>
      </w:r>
      <w:r w:rsidRPr="00606E9B" w:rsidR="00741285">
        <w:rPr>
          <w:sz w:val="52"/>
          <w:szCs w:val="52"/>
        </w:rPr>
        <w:t>Strategies -</w:t>
      </w:r>
      <w:r w:rsidRPr="00606E9B" w:rsidR="00AC6930">
        <w:rPr>
          <w:sz w:val="52"/>
          <w:szCs w:val="52"/>
        </w:rPr>
        <w:t xml:space="preserve"> Explanations and Modelling</w:t>
      </w:r>
      <w:r w:rsidRPr="00606E9B" w:rsidR="005300F9">
        <w:rPr>
          <w:sz w:val="52"/>
          <w:szCs w:val="52"/>
        </w:rPr>
        <w:t xml:space="preserve"> </w:t>
      </w:r>
      <w:r w:rsidRPr="00606E9B" w:rsidR="005300F9">
        <w:rPr>
          <w:sz w:val="36"/>
          <w:szCs w:val="36"/>
        </w:rPr>
        <w:t>(</w:t>
      </w:r>
      <w:r w:rsidRPr="00606E9B" w:rsidR="00926AFD">
        <w:rPr>
          <w:sz w:val="36"/>
          <w:szCs w:val="36"/>
        </w:rPr>
        <w:t>Phase 1)</w:t>
      </w:r>
    </w:p>
    <w:p w:rsidRPr="00326E89" w:rsidR="005F4BE5" w:rsidP="00126539" w:rsidRDefault="00254CBF" w14:paraId="2D9989C1" w14:textId="3F90A5E9">
      <w:pPr>
        <w:spacing w:after="0"/>
        <w:rPr>
          <w:sz w:val="20"/>
          <w:szCs w:val="20"/>
        </w:rPr>
      </w:pPr>
      <w:r w:rsidRPr="000C7D9E">
        <w:rPr>
          <w:b/>
          <w:bCs/>
        </w:rPr>
        <w:t>Desert Island Reading:</w:t>
      </w:r>
      <w:r w:rsidRPr="000C7D9E" w:rsidR="008A2EA3">
        <w:rPr>
          <w:b/>
          <w:bCs/>
        </w:rPr>
        <w:t xml:space="preserve"> </w:t>
      </w:r>
      <w:r w:rsidRPr="00606E9B" w:rsidR="008A2EA3">
        <w:rPr>
          <w:sz w:val="20"/>
          <w:szCs w:val="20"/>
        </w:rPr>
        <w:t>Rosenshine</w:t>
      </w:r>
      <w:r w:rsidRPr="00606E9B" w:rsidR="00A12FE8">
        <w:rPr>
          <w:sz w:val="20"/>
          <w:szCs w:val="20"/>
        </w:rPr>
        <w:t>, B.</w:t>
      </w:r>
      <w:r w:rsidRPr="00606E9B" w:rsidR="008A2EA3">
        <w:rPr>
          <w:sz w:val="20"/>
          <w:szCs w:val="20"/>
        </w:rPr>
        <w:t xml:space="preserve"> </w:t>
      </w:r>
      <w:r w:rsidRPr="00606E9B" w:rsidR="009C21C7">
        <w:rPr>
          <w:sz w:val="20"/>
          <w:szCs w:val="20"/>
        </w:rPr>
        <w:t xml:space="preserve">(2012) </w:t>
      </w:r>
      <w:r w:rsidRPr="00606E9B" w:rsidR="00E04795">
        <w:rPr>
          <w:sz w:val="20"/>
          <w:szCs w:val="20"/>
        </w:rPr>
        <w:t>‘</w:t>
      </w:r>
      <w:r w:rsidRPr="00606E9B" w:rsidR="009C21C7">
        <w:rPr>
          <w:sz w:val="20"/>
          <w:szCs w:val="20"/>
        </w:rPr>
        <w:t>Principles of Instruction: Research-Based strategies that all teaches should know</w:t>
      </w:r>
      <w:r w:rsidRPr="00606E9B" w:rsidR="00A12FE8">
        <w:rPr>
          <w:sz w:val="20"/>
          <w:szCs w:val="20"/>
        </w:rPr>
        <w:t>’,</w:t>
      </w:r>
      <w:r w:rsidRPr="00606E9B" w:rsidR="004722C4">
        <w:rPr>
          <w:sz w:val="20"/>
          <w:szCs w:val="20"/>
        </w:rPr>
        <w:t xml:space="preserve"> </w:t>
      </w:r>
      <w:r w:rsidRPr="00606E9B" w:rsidR="004722C4">
        <w:rPr>
          <w:i/>
          <w:iCs/>
          <w:sz w:val="20"/>
          <w:szCs w:val="20"/>
        </w:rPr>
        <w:t>American Educator</w:t>
      </w:r>
      <w:r w:rsidRPr="00606E9B" w:rsidR="004722C4">
        <w:rPr>
          <w:sz w:val="20"/>
          <w:szCs w:val="20"/>
        </w:rPr>
        <w:t xml:space="preserve">, </w:t>
      </w:r>
      <w:r w:rsidRPr="00606E9B" w:rsidR="000C7D9E">
        <w:rPr>
          <w:sz w:val="20"/>
          <w:szCs w:val="20"/>
        </w:rPr>
        <w:t>Spring 2019, p</w:t>
      </w:r>
      <w:r w:rsidRPr="00606E9B" w:rsidR="004722C4">
        <w:rPr>
          <w:sz w:val="20"/>
          <w:szCs w:val="20"/>
        </w:rPr>
        <w:t>p</w:t>
      </w:r>
      <w:r w:rsidRPr="00606E9B" w:rsidR="000C7D9E">
        <w:rPr>
          <w:sz w:val="20"/>
          <w:szCs w:val="20"/>
        </w:rPr>
        <w:t xml:space="preserve">. </w:t>
      </w:r>
      <w:r w:rsidRPr="00606E9B" w:rsidR="004722C4">
        <w:rPr>
          <w:sz w:val="20"/>
          <w:szCs w:val="20"/>
        </w:rPr>
        <w:t>12-</w:t>
      </w:r>
      <w:r w:rsidRPr="00606E9B" w:rsidR="00CB4B19">
        <w:rPr>
          <w:sz w:val="20"/>
          <w:szCs w:val="20"/>
        </w:rPr>
        <w:t>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1701"/>
        <w:gridCol w:w="4536"/>
        <w:gridCol w:w="2693"/>
        <w:gridCol w:w="2319"/>
      </w:tblGrid>
      <w:tr w:rsidR="00AC093A" w:rsidTr="3925DFFC" w14:paraId="0C4A4D23" w14:textId="17FAB765">
        <w:trPr>
          <w:trHeight w:val="30"/>
        </w:trPr>
        <w:tc>
          <w:tcPr>
            <w:tcW w:w="2679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 w:rsidRPr="00606E9B" w:rsidR="00AC093A" w:rsidP="004D1059" w:rsidRDefault="00AC093A" w14:paraId="11895D08" w14:textId="5606D97B">
            <w:pPr>
              <w:jc w:val="center"/>
            </w:pPr>
            <w:r w:rsidRPr="00254CBF">
              <w:rPr>
                <w:b/>
                <w:bCs/>
                <w:sz w:val="24"/>
                <w:szCs w:val="24"/>
              </w:rPr>
              <w:t>4-step approach for explaining new content</w:t>
            </w:r>
            <w:r w:rsidRPr="00254CBF">
              <w:rPr>
                <w:sz w:val="24"/>
                <w:szCs w:val="24"/>
              </w:rPr>
              <w:t xml:space="preserve"> </w:t>
            </w:r>
            <w:r w:rsidRPr="00606E9B" w:rsidR="00735A9E">
              <w:rPr>
                <w:b/>
                <w:bCs/>
              </w:rPr>
              <w:t>(CCF 4.2, 4.3, 4.4</w:t>
            </w:r>
            <w:r w:rsidR="00564123">
              <w:rPr>
                <w:b/>
                <w:bCs/>
              </w:rPr>
              <w:t>, 2.9</w:t>
            </w:r>
            <w:r w:rsidRPr="00606E9B" w:rsidR="00735A9E">
              <w:rPr>
                <w:b/>
                <w:bCs/>
              </w:rPr>
              <w:t>)</w:t>
            </w:r>
          </w:p>
          <w:p w:rsidRPr="00254CBF" w:rsidR="00AC093A" w:rsidP="004D1059" w:rsidRDefault="00AC093A" w14:paraId="506E7513" w14:textId="40F4FC8C">
            <w:pPr>
              <w:jc w:val="center"/>
              <w:rPr>
                <w:sz w:val="24"/>
                <w:szCs w:val="24"/>
              </w:rPr>
            </w:pPr>
            <w:r w:rsidRPr="00606E9B">
              <w:t>(The Teaching and Learning Playbook, p124-125)</w:t>
            </w:r>
          </w:p>
        </w:tc>
        <w:tc>
          <w:tcPr>
            <w:tcW w:w="11249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254CBF" w:rsidR="00AC093A" w:rsidP="004D1059" w:rsidRDefault="00AC093A" w14:paraId="085A65A0" w14:textId="33BDC09C">
            <w:pPr>
              <w:jc w:val="center"/>
              <w:rPr>
                <w:b/>
                <w:bCs/>
                <w:sz w:val="24"/>
                <w:szCs w:val="24"/>
              </w:rPr>
            </w:pPr>
            <w:r w:rsidRPr="00254CBF">
              <w:rPr>
                <w:b/>
                <w:bCs/>
                <w:sz w:val="24"/>
                <w:szCs w:val="24"/>
              </w:rPr>
              <w:t>Practicable strategies for ITAP 1 to support ‘explaining new content’</w:t>
            </w:r>
          </w:p>
        </w:tc>
      </w:tr>
      <w:tr w:rsidR="00254CBF" w:rsidTr="3925DFFC" w14:paraId="76A5C6F5" w14:textId="0EF96CFE">
        <w:trPr>
          <w:trHeight w:val="30"/>
        </w:trPr>
        <w:tc>
          <w:tcPr>
            <w:tcW w:w="2679" w:type="dxa"/>
            <w:vMerge/>
            <w:vAlign w:val="center"/>
          </w:tcPr>
          <w:p w:rsidRPr="00254CBF" w:rsidR="00254CBF" w:rsidP="004D1059" w:rsidRDefault="00254CBF" w14:paraId="21C066C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 w:rsidRPr="00254CBF" w:rsidR="00254CBF" w:rsidP="004D1059" w:rsidRDefault="00254CBF" w14:paraId="2A20CDED" w14:textId="3D157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54CBF">
              <w:rPr>
                <w:b/>
                <w:bCs/>
                <w:sz w:val="24"/>
                <w:szCs w:val="24"/>
              </w:rPr>
              <w:t>Strategy (CCF</w:t>
            </w:r>
            <w:r w:rsidR="004F27E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bottom w:val="single" w:color="auto" w:sz="12" w:space="0"/>
            </w:tcBorders>
            <w:vAlign w:val="center"/>
          </w:tcPr>
          <w:p w:rsidRPr="00254CBF" w:rsidR="00254CBF" w:rsidP="004D1059" w:rsidRDefault="00254CBF" w14:paraId="4788B9F0" w14:textId="7FC4DB46">
            <w:pPr>
              <w:jc w:val="center"/>
              <w:rPr>
                <w:b/>
                <w:bCs/>
                <w:sz w:val="24"/>
                <w:szCs w:val="24"/>
              </w:rPr>
            </w:pPr>
            <w:r w:rsidRPr="00254CBF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693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 w:rsidRPr="00254CBF" w:rsidR="00254CBF" w:rsidP="004D1059" w:rsidRDefault="00254CBF" w14:paraId="6D33C8A8" w14:textId="3FDD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254CBF">
              <w:rPr>
                <w:b/>
                <w:bCs/>
                <w:sz w:val="24"/>
                <w:szCs w:val="24"/>
              </w:rPr>
              <w:t>Strategy outlined in:</w:t>
            </w:r>
          </w:p>
        </w:tc>
        <w:tc>
          <w:tcPr>
            <w:tcW w:w="2319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254CBF" w:rsidR="00254CBF" w:rsidP="004D1059" w:rsidRDefault="00254CBF" w14:paraId="11D6F2CA" w14:textId="3E48A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 underpinning the strategy</w:t>
            </w:r>
          </w:p>
        </w:tc>
      </w:tr>
      <w:tr w:rsidR="00254CBF" w:rsidTr="3925DFFC" w14:paraId="7158102F" w14:textId="7E2CF0CB">
        <w:trPr>
          <w:trHeight w:val="300"/>
        </w:trPr>
        <w:tc>
          <w:tcPr>
            <w:tcW w:w="26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F6F0FA"/>
            <w:vAlign w:val="center"/>
          </w:tcPr>
          <w:p w:rsidRPr="00B51F8D" w:rsidR="00254CBF" w:rsidP="00721E77" w:rsidRDefault="00254CBF" w14:paraId="197DDEE8" w14:textId="2444D2B6">
            <w:pPr>
              <w:jc w:val="center"/>
            </w:pPr>
            <w:r w:rsidRPr="00B51F8D">
              <w:rPr>
                <w:b/>
                <w:bCs/>
                <w:u w:val="single"/>
              </w:rPr>
              <w:t>Hook</w:t>
            </w:r>
            <w:r w:rsidRPr="00B51F8D">
              <w:t xml:space="preserve"> – capturing students’ interest in the new content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6F0FA"/>
            <w:vAlign w:val="center"/>
          </w:tcPr>
          <w:p w:rsidRPr="00B51F8D" w:rsidR="00254CBF" w:rsidP="00721E77" w:rsidRDefault="00254CBF" w14:paraId="0CDD1DAF" w14:textId="631D0A29">
            <w:pPr>
              <w:jc w:val="center"/>
            </w:pPr>
            <w:r w:rsidRPr="00B51F8D">
              <w:t>“Why” First</w:t>
            </w:r>
          </w:p>
        </w:tc>
        <w:tc>
          <w:tcPr>
            <w:tcW w:w="453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6F0FA"/>
            <w:vAlign w:val="center"/>
          </w:tcPr>
          <w:p w:rsidRPr="00B51F8D" w:rsidR="00254CBF" w:rsidP="00721E77" w:rsidRDefault="00254CBF" w14:paraId="19C88D48" w14:textId="68E54A2D">
            <w:r w:rsidRPr="00B51F8D">
              <w:t>Practice sharing the purpose of what students are learning and why it is important (beyond specs and exams)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6F0FA"/>
            <w:vAlign w:val="center"/>
          </w:tcPr>
          <w:p w:rsidRPr="00B51F8D" w:rsidR="00254CBF" w:rsidP="00721E77" w:rsidRDefault="00254CBF" w14:paraId="3DE0BA4E" w14:textId="7EEE900E">
            <w:r w:rsidRPr="00B51F8D">
              <w:t>The Teaching and Learning Playbook p 132-133</w:t>
            </w:r>
          </w:p>
        </w:tc>
        <w:tc>
          <w:tcPr>
            <w:tcW w:w="23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6F0FA"/>
          </w:tcPr>
          <w:p w:rsidRPr="00A173C8" w:rsidR="00904D22" w:rsidP="00A173C8" w:rsidRDefault="00904D22" w14:paraId="3CC0802D" w14:textId="2FDD0F3D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 xml:space="preserve">Shimamura (2018) pp. </w:t>
            </w:r>
            <w:r w:rsidRPr="00A173C8" w:rsidR="00EF7825">
              <w:rPr>
                <w:sz w:val="20"/>
                <w:szCs w:val="20"/>
              </w:rPr>
              <w:t>7-13</w:t>
            </w:r>
          </w:p>
          <w:p w:rsidRPr="00B51F8D" w:rsidR="00254CBF" w:rsidP="00721E77" w:rsidRDefault="00254CBF" w14:paraId="1D1E8B8B" w14:textId="170E986B"/>
        </w:tc>
      </w:tr>
      <w:tr w:rsidR="00D8712D" w:rsidTr="3925DFFC" w14:paraId="5AE3E60A" w14:textId="37DC0746">
        <w:trPr>
          <w:trHeight w:val="300"/>
        </w:trPr>
        <w:tc>
          <w:tcPr>
            <w:tcW w:w="2679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F1E8F8"/>
            <w:vAlign w:val="center"/>
          </w:tcPr>
          <w:p w:rsidRPr="00B51F8D" w:rsidR="00D8712D" w:rsidP="00721E77" w:rsidRDefault="00D8712D" w14:paraId="5A71D0B6" w14:textId="71ABCE2D">
            <w:pPr>
              <w:jc w:val="center"/>
            </w:pPr>
            <w:r w:rsidRPr="00B51F8D">
              <w:rPr>
                <w:b/>
                <w:bCs/>
                <w:u w:val="single"/>
              </w:rPr>
              <w:t>Schema</w:t>
            </w:r>
            <w:r w:rsidRPr="00B51F8D">
              <w:t xml:space="preserve"> – Framing the new content in the context of what they already know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F1E8F8"/>
            <w:vAlign w:val="center"/>
          </w:tcPr>
          <w:p w:rsidRPr="00B51F8D" w:rsidR="00D8712D" w:rsidP="00721E77" w:rsidRDefault="00D8712D" w14:paraId="5B60B6D9" w14:textId="56E3F65C">
            <w:pPr>
              <w:jc w:val="center"/>
            </w:pPr>
            <w:r w:rsidRPr="00B51F8D">
              <w:t>Zoom in, zoom out</w:t>
            </w:r>
            <w:r>
              <w:t xml:space="preserve"> (2g)</w:t>
            </w:r>
          </w:p>
        </w:tc>
        <w:tc>
          <w:tcPr>
            <w:tcW w:w="4536" w:type="dxa"/>
            <w:tcBorders>
              <w:top w:val="single" w:color="auto" w:sz="12" w:space="0"/>
            </w:tcBorders>
            <w:shd w:val="clear" w:color="auto" w:fill="F1E8F8"/>
            <w:vAlign w:val="center"/>
          </w:tcPr>
          <w:p w:rsidRPr="00B51F8D" w:rsidR="00D8712D" w:rsidP="00721E77" w:rsidRDefault="00D8712D" w14:paraId="28538FC8" w14:textId="2308D87A">
            <w:r w:rsidRPr="00B51F8D">
              <w:t>Illustrating how ideas are connected, that they form a bigger picture, and can be arranged into categories</w:t>
            </w:r>
          </w:p>
        </w:tc>
        <w:tc>
          <w:tcPr>
            <w:tcW w:w="2693" w:type="dxa"/>
            <w:tcBorders>
              <w:top w:val="single" w:color="auto" w:sz="12" w:space="0"/>
              <w:right w:val="single" w:color="auto" w:sz="4" w:space="0"/>
            </w:tcBorders>
            <w:shd w:val="clear" w:color="auto" w:fill="F1E8F8"/>
            <w:vAlign w:val="center"/>
          </w:tcPr>
          <w:p w:rsidRPr="00B51F8D" w:rsidR="00D8712D" w:rsidP="00721E77" w:rsidRDefault="00D8712D" w14:paraId="28BFA32E" w14:textId="25658076">
            <w:r w:rsidRPr="00B51F8D">
              <w:t>WalkThrus 1 p74-75</w:t>
            </w:r>
          </w:p>
        </w:tc>
        <w:tc>
          <w:tcPr>
            <w:tcW w:w="231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1E8F8"/>
          </w:tcPr>
          <w:p w:rsidRPr="00A173C8" w:rsidR="00081DFD" w:rsidP="00A173C8" w:rsidRDefault="00081DFD" w14:paraId="76752B56" w14:textId="323BC8BC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>Rosenshine’s Principle of Instruction No.2: Present new material in small steps (Rosenshine, 2012)</w:t>
            </w:r>
          </w:p>
          <w:p w:rsidRPr="00A173C8" w:rsidR="00D8712D" w:rsidP="00A173C8" w:rsidRDefault="00D8712D" w14:paraId="0DAF6716" w14:textId="375D0A17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>Shimamura (2018) pp. 21-29</w:t>
            </w:r>
          </w:p>
          <w:p w:rsidRPr="00A173C8" w:rsidR="00D8712D" w:rsidP="00A173C8" w:rsidRDefault="00D8712D" w14:paraId="1D12812C" w14:textId="77777777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 xml:space="preserve">Elleman et. al. (2009) </w:t>
            </w:r>
          </w:p>
          <w:p w:rsidRPr="00B51F8D" w:rsidR="00D8712D" w:rsidP="00A173C8" w:rsidRDefault="00D8712D" w14:paraId="0F0FCF9D" w14:textId="69F24814">
            <w:pPr>
              <w:pStyle w:val="ListParagraph"/>
              <w:numPr>
                <w:ilvl w:val="0"/>
                <w:numId w:val="5"/>
              </w:numPr>
              <w:ind w:left="175" w:hanging="175"/>
            </w:pPr>
            <w:r w:rsidRPr="00A173C8">
              <w:rPr>
                <w:sz w:val="20"/>
                <w:szCs w:val="20"/>
              </w:rPr>
              <w:t>Willingham (2009)</w:t>
            </w:r>
          </w:p>
        </w:tc>
      </w:tr>
      <w:tr w:rsidR="00D8712D" w:rsidTr="3925DFFC" w14:paraId="61884F17" w14:textId="6C9C82F0">
        <w:trPr>
          <w:trHeight w:val="300"/>
        </w:trPr>
        <w:tc>
          <w:tcPr>
            <w:tcW w:w="2679" w:type="dxa"/>
            <w:vMerge/>
            <w:vAlign w:val="center"/>
          </w:tcPr>
          <w:p w:rsidRPr="00B51F8D" w:rsidR="00D8712D" w:rsidP="00721E77" w:rsidRDefault="00D8712D" w14:paraId="36234F1B" w14:textId="7777777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shd w:val="clear" w:color="auto" w:fill="F1E8F8"/>
            <w:vAlign w:val="center"/>
          </w:tcPr>
          <w:p w:rsidRPr="00B51F8D" w:rsidR="00D8712D" w:rsidP="00721E77" w:rsidRDefault="00D8712D" w14:paraId="039E9715" w14:textId="6ACDA009">
            <w:pPr>
              <w:jc w:val="center"/>
            </w:pPr>
            <w:r w:rsidRPr="00B51F8D">
              <w:t>Embedding New Vocabulary</w:t>
            </w:r>
            <w:r>
              <w:t xml:space="preserve"> (2g)</w:t>
            </w:r>
          </w:p>
        </w:tc>
        <w:tc>
          <w:tcPr>
            <w:tcW w:w="4536" w:type="dxa"/>
            <w:shd w:val="clear" w:color="auto" w:fill="F1E8F8"/>
            <w:vAlign w:val="center"/>
          </w:tcPr>
          <w:p w:rsidRPr="00B51F8D" w:rsidR="00D8712D" w:rsidP="00721E77" w:rsidRDefault="00D8712D" w14:paraId="7616A3B1" w14:textId="40DFECA4">
            <w:r w:rsidRPr="00B51F8D">
              <w:t>Strategy for introducing and embedding new Tier 2 and 3 words into students’ vocabulary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shd w:val="clear" w:color="auto" w:fill="F1E8F8"/>
            <w:vAlign w:val="center"/>
          </w:tcPr>
          <w:p w:rsidRPr="00B51F8D" w:rsidR="00D8712D" w:rsidP="00721E77" w:rsidRDefault="00D8712D" w14:paraId="5EF016AD" w14:textId="77777777">
            <w:r w:rsidRPr="00B51F8D">
              <w:t>The Teaching and Learning Playbook p 126-127</w:t>
            </w:r>
          </w:p>
          <w:p w:rsidRPr="00B51F8D" w:rsidR="00D8712D" w:rsidP="00721E77" w:rsidRDefault="00D8712D" w14:paraId="5D92BDCD" w14:textId="3BA2C596">
            <w:r w:rsidRPr="00B51F8D">
              <w:t>WalkThrus 1 p72-73</w:t>
            </w:r>
          </w:p>
        </w:tc>
        <w:tc>
          <w:tcPr>
            <w:tcW w:w="2319" w:type="dxa"/>
            <w:vMerge/>
          </w:tcPr>
          <w:p w:rsidRPr="00B51F8D" w:rsidR="00D8712D" w:rsidP="00721E77" w:rsidRDefault="00D8712D" w14:paraId="4B582746" w14:textId="372F2123"/>
        </w:tc>
      </w:tr>
      <w:tr w:rsidR="00D8712D" w:rsidTr="3925DFFC" w14:paraId="0DED84EC" w14:textId="0FE78C76">
        <w:trPr>
          <w:trHeight w:val="300"/>
        </w:trPr>
        <w:tc>
          <w:tcPr>
            <w:tcW w:w="2679" w:type="dxa"/>
            <w:vMerge/>
            <w:vAlign w:val="center"/>
          </w:tcPr>
          <w:p w:rsidRPr="00B51F8D" w:rsidR="00D8712D" w:rsidP="00721E77" w:rsidRDefault="00D8712D" w14:paraId="59BF178F" w14:textId="7777777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F1E8F8"/>
            <w:vAlign w:val="center"/>
          </w:tcPr>
          <w:p w:rsidRPr="00B51F8D" w:rsidR="00D8712D" w:rsidP="00721E77" w:rsidRDefault="00D8712D" w14:paraId="12F7ACE8" w14:textId="39FB0BC0">
            <w:pPr>
              <w:jc w:val="center"/>
            </w:pPr>
            <w:r w:rsidRPr="00B51F8D">
              <w:t>Concrete to Concept</w:t>
            </w:r>
            <w:r>
              <w:t xml:space="preserve"> (2g/4f)</w:t>
            </w:r>
          </w:p>
        </w:tc>
        <w:tc>
          <w:tcPr>
            <w:tcW w:w="4536" w:type="dxa"/>
            <w:tcBorders>
              <w:bottom w:val="single" w:color="auto" w:sz="12" w:space="0"/>
            </w:tcBorders>
            <w:shd w:val="clear" w:color="auto" w:fill="F1E8F8"/>
            <w:vAlign w:val="center"/>
          </w:tcPr>
          <w:p w:rsidRPr="00B51F8D" w:rsidR="00D8712D" w:rsidP="00721E77" w:rsidRDefault="00D8712D" w14:paraId="42B0FF99" w14:textId="40C9FC3A">
            <w:r w:rsidRPr="00B51F8D">
              <w:t xml:space="preserve">Beginning with a specific example of the knowledge in practice before moving onto the abstract concept that underpins it. </w:t>
            </w:r>
          </w:p>
        </w:tc>
        <w:tc>
          <w:tcPr>
            <w:tcW w:w="2693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F1E8F8"/>
            <w:vAlign w:val="center"/>
          </w:tcPr>
          <w:p w:rsidRPr="00B51F8D" w:rsidR="00D8712D" w:rsidP="00721E77" w:rsidRDefault="00D8712D" w14:paraId="1FDE16C3" w14:textId="77777777">
            <w:r w:rsidRPr="00B51F8D">
              <w:t>The Teaching and Learning Playbook p 128-129</w:t>
            </w:r>
          </w:p>
          <w:p w:rsidRPr="00B51F8D" w:rsidR="00D8712D" w:rsidP="00721E77" w:rsidRDefault="00D8712D" w14:paraId="1B4A56B8" w14:textId="261BFA94">
            <w:r w:rsidRPr="00B51F8D">
              <w:t>WalkThrus 1 P76-77</w:t>
            </w:r>
          </w:p>
        </w:tc>
        <w:tc>
          <w:tcPr>
            <w:tcW w:w="2319" w:type="dxa"/>
            <w:vMerge/>
          </w:tcPr>
          <w:p w:rsidRPr="00B51F8D" w:rsidR="00D8712D" w:rsidP="00721E77" w:rsidRDefault="00D8712D" w14:paraId="41045126" w14:textId="13676882"/>
        </w:tc>
      </w:tr>
      <w:tr w:rsidR="00383F8A" w:rsidTr="3925DFFC" w14:paraId="6F6C8EAF" w14:textId="5DAA072E">
        <w:trPr>
          <w:trHeight w:val="300"/>
        </w:trPr>
        <w:tc>
          <w:tcPr>
            <w:tcW w:w="2679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E2D0F0"/>
            <w:vAlign w:val="center"/>
          </w:tcPr>
          <w:p w:rsidRPr="00B51F8D" w:rsidR="00383F8A" w:rsidP="00721E77" w:rsidRDefault="00383F8A" w14:paraId="73FCEEA9" w14:textId="0C39B8DD">
            <w:pPr>
              <w:jc w:val="center"/>
            </w:pPr>
            <w:r w:rsidRPr="00B51F8D">
              <w:rPr>
                <w:b/>
                <w:bCs/>
                <w:u w:val="single"/>
              </w:rPr>
              <w:t>Structure</w:t>
            </w:r>
            <w:r w:rsidRPr="00B51F8D">
              <w:t xml:space="preserve"> – chunking up new knowledge in no more than 4 chunks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E2D0F0"/>
            <w:vAlign w:val="center"/>
          </w:tcPr>
          <w:p w:rsidRPr="00B51F8D" w:rsidR="00383F8A" w:rsidP="00721E77" w:rsidRDefault="00383F8A" w14:paraId="495CD237" w14:textId="1C77FDCF">
            <w:pPr>
              <w:jc w:val="center"/>
            </w:pPr>
            <w:r w:rsidRPr="00B51F8D">
              <w:t>Scaffolded Modelling</w:t>
            </w:r>
            <w:r>
              <w:t xml:space="preserve"> (4b)</w:t>
            </w:r>
          </w:p>
        </w:tc>
        <w:tc>
          <w:tcPr>
            <w:tcW w:w="4536" w:type="dxa"/>
            <w:tcBorders>
              <w:top w:val="single" w:color="auto" w:sz="12" w:space="0"/>
            </w:tcBorders>
            <w:shd w:val="clear" w:color="auto" w:fill="E2D0F0"/>
            <w:vAlign w:val="center"/>
          </w:tcPr>
          <w:p w:rsidRPr="00B51F8D" w:rsidR="00383F8A" w:rsidP="00721E77" w:rsidRDefault="00383F8A" w14:paraId="08F95589" w14:textId="39294310">
            <w:r w:rsidRPr="00B51F8D">
              <w:t xml:space="preserve">Model a skill or process by chunking each component into actionable steps </w:t>
            </w:r>
          </w:p>
        </w:tc>
        <w:tc>
          <w:tcPr>
            <w:tcW w:w="2693" w:type="dxa"/>
            <w:tcBorders>
              <w:top w:val="single" w:color="auto" w:sz="12" w:space="0"/>
              <w:right w:val="single" w:color="auto" w:sz="4" w:space="0"/>
            </w:tcBorders>
            <w:shd w:val="clear" w:color="auto" w:fill="E2D0F0"/>
            <w:vAlign w:val="center"/>
          </w:tcPr>
          <w:p w:rsidRPr="00B51F8D" w:rsidR="00383F8A" w:rsidP="00721E77" w:rsidRDefault="00383F8A" w14:paraId="7EFE9347" w14:textId="77777777">
            <w:r w:rsidRPr="00B51F8D">
              <w:t>The Teaching and Learning Playbook p 136-137</w:t>
            </w:r>
          </w:p>
          <w:p w:rsidRPr="00B51F8D" w:rsidR="00383F8A" w:rsidP="00721E77" w:rsidRDefault="00383F8A" w14:paraId="60531C2B" w14:textId="0764FC2A">
            <w:r w:rsidRPr="00B51F8D">
              <w:t>WalkThrus 1 p80-81</w:t>
            </w:r>
          </w:p>
        </w:tc>
        <w:tc>
          <w:tcPr>
            <w:tcW w:w="231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E2D0F0"/>
          </w:tcPr>
          <w:p w:rsidRPr="00A173C8" w:rsidR="00383F8A" w:rsidP="00A173C8" w:rsidRDefault="00383F8A" w14:paraId="1A69B85A" w14:textId="77777777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>Rosenshine’s Principle of Instruction No.4: Provide models and worked examples (Rosenshine, 2012)</w:t>
            </w:r>
          </w:p>
          <w:p w:rsidRPr="00A173C8" w:rsidR="00383F8A" w:rsidP="00A173C8" w:rsidRDefault="00383F8A" w14:paraId="218A1ACC" w14:textId="77777777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>Van de Pol</w:t>
            </w:r>
            <w:r w:rsidRPr="00A173C8" w:rsidR="008D2C63">
              <w:rPr>
                <w:sz w:val="20"/>
                <w:szCs w:val="20"/>
              </w:rPr>
              <w:t xml:space="preserve">, </w:t>
            </w:r>
            <w:r w:rsidRPr="00A173C8">
              <w:rPr>
                <w:sz w:val="20"/>
                <w:szCs w:val="20"/>
              </w:rPr>
              <w:t xml:space="preserve">Volman, &amp; Beishuizen (2010) </w:t>
            </w:r>
          </w:p>
          <w:p w:rsidRPr="00B51F8D" w:rsidR="00A173C8" w:rsidP="00A173C8" w:rsidRDefault="00A173C8" w14:paraId="5EE24A86" w14:textId="3CAD115A">
            <w:pPr>
              <w:pStyle w:val="ListParagraph"/>
              <w:numPr>
                <w:ilvl w:val="0"/>
                <w:numId w:val="5"/>
              </w:numPr>
              <w:ind w:left="175" w:hanging="175"/>
            </w:pPr>
            <w:r w:rsidRPr="00A173C8">
              <w:rPr>
                <w:sz w:val="20"/>
                <w:szCs w:val="20"/>
              </w:rPr>
              <w:t>Van de Pol, et.al. (2015)</w:t>
            </w:r>
          </w:p>
        </w:tc>
      </w:tr>
      <w:tr w:rsidR="00383F8A" w:rsidTr="3925DFFC" w14:paraId="33292927" w14:textId="2A51D637">
        <w:trPr>
          <w:trHeight w:val="300"/>
        </w:trPr>
        <w:tc>
          <w:tcPr>
            <w:tcW w:w="2679" w:type="dxa"/>
            <w:vMerge/>
            <w:vAlign w:val="center"/>
          </w:tcPr>
          <w:p w:rsidRPr="00B51F8D" w:rsidR="00383F8A" w:rsidP="00721E77" w:rsidRDefault="00383F8A" w14:paraId="4F1D4E42" w14:textId="7777777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shd w:val="clear" w:color="auto" w:fill="E2D0F0"/>
            <w:vAlign w:val="center"/>
          </w:tcPr>
          <w:p w:rsidRPr="00B51F8D" w:rsidR="00383F8A" w:rsidP="00721E77" w:rsidRDefault="00383F8A" w14:paraId="3250208E" w14:textId="1FEB86F7">
            <w:pPr>
              <w:jc w:val="center"/>
            </w:pPr>
            <w:r w:rsidRPr="00B51F8D">
              <w:t>Worked Examples</w:t>
            </w:r>
            <w:r>
              <w:t xml:space="preserve"> (4b)</w:t>
            </w:r>
          </w:p>
        </w:tc>
        <w:tc>
          <w:tcPr>
            <w:tcW w:w="4536" w:type="dxa"/>
            <w:shd w:val="clear" w:color="auto" w:fill="E2D0F0"/>
            <w:vAlign w:val="center"/>
          </w:tcPr>
          <w:p w:rsidRPr="00B51F8D" w:rsidR="00383F8A" w:rsidP="00721E77" w:rsidRDefault="00383F8A" w14:paraId="46FDB49D" w14:textId="74ABD4C9">
            <w:r w:rsidRPr="00B51F8D">
              <w:t>Explicitly using examples (and non-examples) to strengthen understanding of a concept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shd w:val="clear" w:color="auto" w:fill="E2D0F0"/>
            <w:vAlign w:val="center"/>
          </w:tcPr>
          <w:p w:rsidRPr="00B51F8D" w:rsidR="00383F8A" w:rsidP="00721E77" w:rsidRDefault="00383F8A" w14:paraId="0E06BA63" w14:textId="5369679F">
            <w:r w:rsidRPr="00B51F8D">
              <w:t>The Teaching and Learning Playbook p130-131</w:t>
            </w:r>
          </w:p>
        </w:tc>
        <w:tc>
          <w:tcPr>
            <w:tcW w:w="2319" w:type="dxa"/>
            <w:vMerge/>
          </w:tcPr>
          <w:p w:rsidRPr="00B51F8D" w:rsidR="00383F8A" w:rsidP="00721E77" w:rsidRDefault="00383F8A" w14:paraId="2093C629" w14:textId="77777777"/>
        </w:tc>
      </w:tr>
      <w:tr w:rsidR="00383F8A" w:rsidTr="3925DFFC" w14:paraId="11236752" w14:textId="6025E5FD">
        <w:trPr>
          <w:trHeight w:val="300"/>
        </w:trPr>
        <w:tc>
          <w:tcPr>
            <w:tcW w:w="2679" w:type="dxa"/>
            <w:vMerge/>
            <w:vAlign w:val="center"/>
          </w:tcPr>
          <w:p w:rsidRPr="00B51F8D" w:rsidR="00383F8A" w:rsidP="00721E77" w:rsidRDefault="00383F8A" w14:paraId="79A57FCE" w14:textId="7777777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E2D0F0"/>
            <w:vAlign w:val="center"/>
          </w:tcPr>
          <w:p w:rsidRPr="00B51F8D" w:rsidR="00383F8A" w:rsidP="00721E77" w:rsidRDefault="00383F8A" w14:paraId="5D24ED35" w14:textId="68BA9D2E">
            <w:pPr>
              <w:jc w:val="center"/>
            </w:pPr>
            <w:r w:rsidRPr="00B51F8D">
              <w:t>Live Modelling</w:t>
            </w:r>
            <w:r>
              <w:t xml:space="preserve"> (4b)</w:t>
            </w:r>
          </w:p>
        </w:tc>
        <w:tc>
          <w:tcPr>
            <w:tcW w:w="4536" w:type="dxa"/>
            <w:tcBorders>
              <w:bottom w:val="single" w:color="auto" w:sz="12" w:space="0"/>
            </w:tcBorders>
            <w:shd w:val="clear" w:color="auto" w:fill="E2D0F0"/>
            <w:vAlign w:val="center"/>
          </w:tcPr>
          <w:p w:rsidRPr="00B51F8D" w:rsidR="00383F8A" w:rsidP="00721E77" w:rsidRDefault="00383F8A" w14:paraId="6CACEF54" w14:textId="1C495923">
            <w:r w:rsidRPr="00B51F8D">
              <w:t>Modelling a skill or process in real time, narrating the thinking</w:t>
            </w:r>
          </w:p>
        </w:tc>
        <w:tc>
          <w:tcPr>
            <w:tcW w:w="2693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2D0F0"/>
            <w:vAlign w:val="center"/>
          </w:tcPr>
          <w:p w:rsidRPr="00B51F8D" w:rsidR="00383F8A" w:rsidP="00721E77" w:rsidRDefault="00383F8A" w14:paraId="50131191" w14:textId="77777777">
            <w:r w:rsidRPr="00B51F8D">
              <w:t>The Teaching and Learning Playbook p138</w:t>
            </w:r>
          </w:p>
          <w:p w:rsidRPr="00B51F8D" w:rsidR="00383F8A" w:rsidP="00721E77" w:rsidRDefault="00383F8A" w14:paraId="41666AFE" w14:textId="0F92EADA">
            <w:r w:rsidRPr="00B51F8D">
              <w:t>WalkThrus 1 p78-79</w:t>
            </w:r>
          </w:p>
        </w:tc>
        <w:tc>
          <w:tcPr>
            <w:tcW w:w="2319" w:type="dxa"/>
            <w:vMerge/>
          </w:tcPr>
          <w:p w:rsidRPr="00B51F8D" w:rsidR="00383F8A" w:rsidP="00721E77" w:rsidRDefault="00383F8A" w14:paraId="28F5059C" w14:textId="77777777"/>
        </w:tc>
      </w:tr>
      <w:tr w:rsidR="00254CBF" w:rsidTr="3925DFFC" w14:paraId="008A3A3F" w14:textId="5AE4FE52">
        <w:trPr>
          <w:trHeight w:val="300"/>
        </w:trPr>
        <w:tc>
          <w:tcPr>
            <w:tcW w:w="26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AC2EC"/>
            <w:vAlign w:val="center"/>
          </w:tcPr>
          <w:p w:rsidRPr="00B51F8D" w:rsidR="00254CBF" w:rsidP="00721E77" w:rsidRDefault="00254CBF" w14:paraId="32AAD373" w14:textId="7D4B9D06">
            <w:pPr>
              <w:jc w:val="center"/>
            </w:pPr>
            <w:r w:rsidRPr="00B51F8D">
              <w:rPr>
                <w:b/>
                <w:bCs/>
                <w:u w:val="single"/>
              </w:rPr>
              <w:t>Check in</w:t>
            </w:r>
            <w:r w:rsidRPr="00B51F8D">
              <w:t xml:space="preserve"> – Ensuring that knowledge is secure before moving on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AC2EC"/>
            <w:vAlign w:val="center"/>
          </w:tcPr>
          <w:p w:rsidRPr="00B51F8D" w:rsidR="00254CBF" w:rsidP="00721E77" w:rsidRDefault="00254CBF" w14:paraId="5E7EB0A0" w14:textId="50467B25">
            <w:pPr>
              <w:jc w:val="center"/>
            </w:pPr>
            <w:r w:rsidRPr="00B51F8D">
              <w:t>I do, We do, You do /backward fading</w:t>
            </w:r>
            <w:r w:rsidR="00106581">
              <w:t xml:space="preserve"> (4d)</w:t>
            </w:r>
          </w:p>
        </w:tc>
        <w:tc>
          <w:tcPr>
            <w:tcW w:w="453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AC2EC"/>
            <w:vAlign w:val="center"/>
          </w:tcPr>
          <w:p w:rsidRPr="00B51F8D" w:rsidR="00254CBF" w:rsidP="00721E77" w:rsidRDefault="00254CBF" w14:paraId="3D4ADFC3" w14:textId="6B871379">
            <w:r w:rsidRPr="00B51F8D">
              <w:t>When students are practicing applying knowledge for the first time, the teacher models, then models with students, then support students’ independent practice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C2EC"/>
            <w:vAlign w:val="center"/>
          </w:tcPr>
          <w:p w:rsidRPr="00B51F8D" w:rsidR="00254CBF" w:rsidP="00721E77" w:rsidRDefault="00254CBF" w14:paraId="3802EB0A" w14:textId="77777777">
            <w:r w:rsidRPr="00B51F8D">
              <w:t>The Teaching and Learning Playbook p 134-135</w:t>
            </w:r>
          </w:p>
          <w:p w:rsidRPr="00B51F8D" w:rsidR="00254CBF" w:rsidP="00721E77" w:rsidRDefault="00254CBF" w14:paraId="7C771C6B" w14:textId="62FFAFA1">
            <w:r w:rsidRPr="00B51F8D">
              <w:t>WalkThrus 1 p68-69</w:t>
            </w:r>
          </w:p>
        </w:tc>
        <w:tc>
          <w:tcPr>
            <w:tcW w:w="231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C2EC"/>
          </w:tcPr>
          <w:p w:rsidRPr="00A173C8" w:rsidR="00254CBF" w:rsidP="00A173C8" w:rsidRDefault="00EF1C8C" w14:paraId="1A10EB3F" w14:textId="77777777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 xml:space="preserve">Sweller et. al. </w:t>
            </w:r>
            <w:r w:rsidRPr="00A173C8" w:rsidR="00675A55">
              <w:rPr>
                <w:sz w:val="20"/>
                <w:szCs w:val="20"/>
              </w:rPr>
              <w:t>(2019)</w:t>
            </w:r>
          </w:p>
          <w:p w:rsidRPr="00B51F8D" w:rsidR="00FE56AD" w:rsidP="00A173C8" w:rsidRDefault="00FE56AD" w14:paraId="1DFD8907" w14:textId="43FE3EC3">
            <w:pPr>
              <w:pStyle w:val="ListParagraph"/>
              <w:numPr>
                <w:ilvl w:val="0"/>
                <w:numId w:val="5"/>
              </w:numPr>
              <w:ind w:left="175" w:hanging="175"/>
            </w:pPr>
            <w:r w:rsidRPr="00A173C8">
              <w:rPr>
                <w:sz w:val="20"/>
                <w:szCs w:val="20"/>
              </w:rPr>
              <w:t xml:space="preserve">Rosenshine’s Principle of Instruction No.9: </w:t>
            </w:r>
            <w:r w:rsidRPr="00A173C8" w:rsidR="00AE001F">
              <w:rPr>
                <w:sz w:val="20"/>
                <w:szCs w:val="20"/>
              </w:rPr>
              <w:t>Require and monitor independent practice</w:t>
            </w:r>
            <w:r w:rsidRPr="00A173C8">
              <w:rPr>
                <w:sz w:val="20"/>
                <w:szCs w:val="20"/>
              </w:rPr>
              <w:t xml:space="preserve"> (Rosenshine, 2012)</w:t>
            </w:r>
          </w:p>
        </w:tc>
      </w:tr>
    </w:tbl>
    <w:p w:rsidR="00720FFB" w:rsidP="00195445" w:rsidRDefault="00720FFB" w14:paraId="1A38A9AF" w14:textId="77777777"/>
    <w:p w:rsidR="00126539" w:rsidP="00195445" w:rsidRDefault="00126539" w14:paraId="75A576B5" w14:textId="77777777">
      <w:pPr>
        <w:rPr>
          <w:b/>
          <w:bCs/>
          <w:sz w:val="28"/>
          <w:szCs w:val="28"/>
        </w:rPr>
      </w:pPr>
    </w:p>
    <w:p w:rsidRPr="005F4BE5" w:rsidR="00A41B4D" w:rsidP="00195445" w:rsidRDefault="00A41B4D" w14:paraId="6D3D3AFB" w14:textId="5301584D">
      <w:pPr>
        <w:rPr>
          <w:b/>
          <w:bCs/>
          <w:sz w:val="28"/>
          <w:szCs w:val="28"/>
        </w:rPr>
      </w:pPr>
      <w:r w:rsidRPr="005F4BE5">
        <w:rPr>
          <w:b/>
          <w:bCs/>
          <w:sz w:val="28"/>
          <w:szCs w:val="28"/>
        </w:rPr>
        <w:lastRenderedPageBreak/>
        <w:t>Reading list</w:t>
      </w:r>
    </w:p>
    <w:p w:rsidR="00245882" w:rsidP="00245882" w:rsidRDefault="001663C3" w14:paraId="37680DB3" w14:textId="77777777">
      <w:pPr>
        <w:spacing w:line="240" w:lineRule="auto"/>
      </w:pPr>
      <w:r>
        <w:t>Elleman,</w:t>
      </w:r>
      <w:r w:rsidR="00AA490D">
        <w:t xml:space="preserve"> A.M., </w:t>
      </w:r>
      <w:r>
        <w:t>Lindo,</w:t>
      </w:r>
      <w:r w:rsidR="00AA490D">
        <w:t xml:space="preserve"> E.J., </w:t>
      </w:r>
      <w:r>
        <w:t>Morphy,</w:t>
      </w:r>
      <w:r w:rsidR="00AA490D">
        <w:t xml:space="preserve"> P.,</w:t>
      </w:r>
      <w:r>
        <w:t xml:space="preserve"> and Compton</w:t>
      </w:r>
      <w:r w:rsidR="00AA490D">
        <w:t>, D.L.</w:t>
      </w:r>
      <w:r>
        <w:t xml:space="preserve"> (2009) </w:t>
      </w:r>
      <w:r w:rsidR="00725290">
        <w:t>‘</w:t>
      </w:r>
      <w:r>
        <w:t xml:space="preserve">The Impact of Vocabulary </w:t>
      </w:r>
      <w:r w:rsidR="00725290">
        <w:t>Instruction on</w:t>
      </w:r>
      <w:r>
        <w:t xml:space="preserve"> Passage-Level Comprehension of School-Age Children: A Meta-Analysis</w:t>
      </w:r>
      <w:r w:rsidR="00725290">
        <w:t>’</w:t>
      </w:r>
      <w:r w:rsidRPr="00725290" w:rsidR="00725290">
        <w:t xml:space="preserve"> </w:t>
      </w:r>
      <w:r w:rsidRPr="00725290" w:rsidR="00725290">
        <w:rPr>
          <w:i/>
          <w:iCs/>
        </w:rPr>
        <w:t>Journal of Research on Educational Effectiveness</w:t>
      </w:r>
      <w:r w:rsidR="00725290">
        <w:t xml:space="preserve">, 2(1), 1–44. </w:t>
      </w:r>
      <w:hyperlink w:history="1" r:id="rId10">
        <w:r w:rsidRPr="00423566" w:rsidR="00725290">
          <w:rPr>
            <w:rStyle w:val="Hyperlink"/>
          </w:rPr>
          <w:t>https://doi.org/10.1080/19345740802539200</w:t>
        </w:r>
      </w:hyperlink>
      <w:r w:rsidR="00725290">
        <w:t>.</w:t>
      </w:r>
    </w:p>
    <w:p w:rsidRPr="00195445" w:rsidR="00EB2973" w:rsidP="00245882" w:rsidRDefault="00EB2973" w14:paraId="27238131" w14:textId="6C1D3430">
      <w:pPr>
        <w:spacing w:line="240" w:lineRule="auto"/>
      </w:pPr>
      <w:proofErr w:type="spellStart"/>
      <w:r>
        <w:t>Fendick</w:t>
      </w:r>
      <w:proofErr w:type="spellEnd"/>
      <w:r>
        <w:t xml:space="preserve">, F. (1992). The correlation between teacher clarity of communication and student achievement gain: A meta-analysis. Doctoral Dissertation at the University of Florida; </w:t>
      </w:r>
      <w:r w:rsidR="00245882">
        <w:t xml:space="preserve">in </w:t>
      </w:r>
      <w:r>
        <w:t>Titsworth, S., Mazer, J. P., Goodboy, A. K., Bolkan, S., &amp; Myers, S. A. (2015). Two meta-analyses exploring the relationship between teacher clarity and student learning. Communication Education, 64(4), 385-418.</w:t>
      </w:r>
    </w:p>
    <w:p w:rsidRPr="001878F1" w:rsidR="00A41B4D" w:rsidP="00245882" w:rsidRDefault="00A41B4D" w14:paraId="4984F24D" w14:textId="0721C99B">
      <w:r w:rsidRPr="001878F1">
        <w:t xml:space="preserve">Rosenshine, B. (2012) ‘Principles of Instruction: Research-Based strategies that all teaches should know’, </w:t>
      </w:r>
      <w:r w:rsidRPr="001878F1">
        <w:rPr>
          <w:i/>
          <w:iCs/>
        </w:rPr>
        <w:t>American Educator</w:t>
      </w:r>
      <w:r w:rsidRPr="001878F1">
        <w:t>, Spring 2019, pp. 12-39</w:t>
      </w:r>
    </w:p>
    <w:p w:rsidRPr="00073676" w:rsidR="009A4B54" w:rsidP="00245882" w:rsidRDefault="009A4B54" w14:paraId="234957CF" w14:textId="0F3AD029">
      <w:r w:rsidRPr="00073676">
        <w:t>Shimamura, A. (2018) ‘A Whole-Brain Approach for Students and Teachers</w:t>
      </w:r>
      <w:r w:rsidRPr="00073676" w:rsidR="005B167C">
        <w:t xml:space="preserve">’ </w:t>
      </w:r>
      <w:r w:rsidRPr="00073676" w:rsidR="00913F9A">
        <w:t>Available at</w:t>
      </w:r>
      <w:r w:rsidR="00073676">
        <w:t xml:space="preserve"> </w:t>
      </w:r>
      <w:hyperlink w:history="1" r:id="rId11">
        <w:r w:rsidRPr="001A202B" w:rsidR="00073676">
          <w:rPr>
            <w:rStyle w:val="Hyperlink"/>
            <w:sz w:val="20"/>
            <w:szCs w:val="20"/>
          </w:rPr>
          <w:t>https://shimamurapubs.files.wordpress.com/2018/09/marge_shimamura.pdf</w:t>
        </w:r>
      </w:hyperlink>
      <w:r w:rsidRPr="00073676" w:rsidR="00913F9A">
        <w:rPr>
          <w:sz w:val="20"/>
          <w:szCs w:val="20"/>
        </w:rPr>
        <w:t xml:space="preserve"> </w:t>
      </w:r>
    </w:p>
    <w:p w:rsidR="00E06B2B" w:rsidP="00245882" w:rsidRDefault="00EF1C8C" w14:paraId="1CBE4396" w14:textId="709CEA5C">
      <w:pPr>
        <w:rPr>
          <w:b/>
          <w:bCs/>
        </w:rPr>
      </w:pPr>
      <w:r>
        <w:t xml:space="preserve">Sweller, J., van </w:t>
      </w:r>
      <w:proofErr w:type="spellStart"/>
      <w:r>
        <w:t>Merriënboer</w:t>
      </w:r>
      <w:proofErr w:type="spellEnd"/>
      <w:r>
        <w:t xml:space="preserve">, J. J., &amp; </w:t>
      </w:r>
      <w:proofErr w:type="spellStart"/>
      <w:r>
        <w:t>Paas</w:t>
      </w:r>
      <w:proofErr w:type="spellEnd"/>
      <w:r>
        <w:t xml:space="preserve">, F. (2019). Cognitive architecture and instructional design: 20 years later. </w:t>
      </w:r>
      <w:r w:rsidRPr="001878F1">
        <w:rPr>
          <w:i/>
          <w:iCs/>
        </w:rPr>
        <w:t>Educational Psychology Review</w:t>
      </w:r>
      <w:r>
        <w:t>, 31(2), 261- 292</w:t>
      </w:r>
    </w:p>
    <w:p w:rsidR="00E06B2B" w:rsidP="00245882" w:rsidRDefault="00E06B2B" w14:paraId="38976C34" w14:textId="38BEEB2E">
      <w:r>
        <w:t xml:space="preserve">Van de Pol, J., Volman, M. &amp; Beishuizen, J. (2010) </w:t>
      </w:r>
      <w:r w:rsidR="001878F1">
        <w:t>‘</w:t>
      </w:r>
      <w:r>
        <w:t>Scaffolding in Teacher–Student Interaction: A Decade of Research</w:t>
      </w:r>
      <w:r w:rsidR="001878F1">
        <w:t>’</w:t>
      </w:r>
      <w:r>
        <w:t xml:space="preserve">. </w:t>
      </w:r>
      <w:r w:rsidRPr="001878F1">
        <w:rPr>
          <w:i/>
          <w:iCs/>
        </w:rPr>
        <w:t>Educational Psychology Review</w:t>
      </w:r>
      <w:r>
        <w:t>. 22. 271-296. 10.1007/s10648-010-9127-6.</w:t>
      </w:r>
      <w:r w:rsidR="007E07E2">
        <w:t xml:space="preserve"> </w:t>
      </w:r>
    </w:p>
    <w:p w:rsidR="00100451" w:rsidP="00245882" w:rsidRDefault="00100451" w14:paraId="0CF74DE6" w14:textId="0F02B3FC">
      <w:r>
        <w:t xml:space="preserve">Van de Pol, J., Volman, M., Oort, F., &amp; Beishuizen, J. (2015) </w:t>
      </w:r>
      <w:r w:rsidR="001878F1">
        <w:t>‘</w:t>
      </w:r>
      <w:r>
        <w:t>The effects of scaffolding in the classroom: support contingency and student independent working time in relation to student achievement, task effort and appreciation of support</w:t>
      </w:r>
      <w:r w:rsidR="001878F1">
        <w:t>’</w:t>
      </w:r>
      <w:r>
        <w:t xml:space="preserve">. </w:t>
      </w:r>
      <w:r w:rsidRPr="001878F1">
        <w:rPr>
          <w:i/>
          <w:iCs/>
        </w:rPr>
        <w:t>Instructional Science</w:t>
      </w:r>
      <w:r>
        <w:t>, 43(5), 615-641.</w:t>
      </w:r>
    </w:p>
    <w:p w:rsidR="00C21521" w:rsidP="00245882" w:rsidRDefault="00C21521" w14:paraId="146B1185" w14:textId="0E6663EA">
      <w:r>
        <w:t>Willingham, D. (2009)</w:t>
      </w:r>
      <w:r w:rsidR="00845118">
        <w:t xml:space="preserve"> </w:t>
      </w:r>
      <w:r w:rsidRPr="001878F1" w:rsidR="00845118">
        <w:rPr>
          <w:i/>
          <w:iCs/>
        </w:rPr>
        <w:t>Why students don’t like school</w:t>
      </w:r>
      <w:r w:rsidR="00845118">
        <w:t>, Jo</w:t>
      </w:r>
      <w:r w:rsidR="00430A56">
        <w:t>ssey-Bass, San Francisco</w:t>
      </w:r>
    </w:p>
    <w:p w:rsidR="3B8E3681" w:rsidP="00245882" w:rsidRDefault="007E07E2" w14:paraId="46E9B611" w14:textId="29F08B75">
      <w:r>
        <w:t xml:space="preserve">Wittwer, J., &amp; </w:t>
      </w:r>
      <w:proofErr w:type="spellStart"/>
      <w:r>
        <w:t>Renkl</w:t>
      </w:r>
      <w:proofErr w:type="spellEnd"/>
      <w:r>
        <w:t xml:space="preserve">, A. (2010) How Effective are Instructional Explanations in Example-Based Learning? A Meta-Analytic Review. </w:t>
      </w:r>
      <w:r w:rsidRPr="001878F1">
        <w:rPr>
          <w:i/>
          <w:iCs/>
        </w:rPr>
        <w:t>Educational Psychology Review</w:t>
      </w:r>
      <w:r>
        <w:t xml:space="preserve">, 22(4), 393–409. </w:t>
      </w:r>
      <w:hyperlink w:history="1" r:id="rId12">
        <w:r w:rsidRPr="00423566">
          <w:rPr>
            <w:rStyle w:val="Hyperlink"/>
          </w:rPr>
          <w:t>https://doi.org/10.1007/s10648-010-9136-5</w:t>
        </w:r>
      </w:hyperlink>
      <w:r>
        <w:t>.</w:t>
      </w:r>
    </w:p>
    <w:sectPr w:rsidR="3B8E3681" w:rsidSect="00B151A0">
      <w:headerReference w:type="default" r:id="rId13"/>
      <w:pgSz w:w="16838" w:h="11906" w:orient="landscape"/>
      <w:pgMar w:top="1276" w:right="1245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A21C" w14:textId="77777777" w:rsidR="00F46F6C" w:rsidRDefault="00F46F6C" w:rsidP="00741285">
      <w:pPr>
        <w:spacing w:after="0" w:line="240" w:lineRule="auto"/>
      </w:pPr>
      <w:r>
        <w:separator/>
      </w:r>
    </w:p>
  </w:endnote>
  <w:endnote w:type="continuationSeparator" w:id="0">
    <w:p w14:paraId="69B426DD" w14:textId="77777777" w:rsidR="00F46F6C" w:rsidRDefault="00F46F6C" w:rsidP="00741285">
      <w:pPr>
        <w:spacing w:after="0" w:line="240" w:lineRule="auto"/>
      </w:pPr>
      <w:r>
        <w:continuationSeparator/>
      </w:r>
    </w:p>
  </w:endnote>
  <w:endnote w:type="continuationNotice" w:id="1">
    <w:p w14:paraId="29CC007E" w14:textId="77777777" w:rsidR="00F46F6C" w:rsidRDefault="00F46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145D" w14:textId="77777777" w:rsidR="00F46F6C" w:rsidRDefault="00F46F6C" w:rsidP="00741285">
      <w:pPr>
        <w:spacing w:after="0" w:line="240" w:lineRule="auto"/>
      </w:pPr>
      <w:r>
        <w:separator/>
      </w:r>
    </w:p>
  </w:footnote>
  <w:footnote w:type="continuationSeparator" w:id="0">
    <w:p w14:paraId="73D29874" w14:textId="77777777" w:rsidR="00F46F6C" w:rsidRDefault="00F46F6C" w:rsidP="00741285">
      <w:pPr>
        <w:spacing w:after="0" w:line="240" w:lineRule="auto"/>
      </w:pPr>
      <w:r>
        <w:continuationSeparator/>
      </w:r>
    </w:p>
  </w:footnote>
  <w:footnote w:type="continuationNotice" w:id="1">
    <w:p w14:paraId="4652E0FB" w14:textId="77777777" w:rsidR="00F46F6C" w:rsidRDefault="00F46F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33D0" w14:textId="7DB841F0" w:rsidR="00741285" w:rsidRPr="00741285" w:rsidRDefault="00741285" w:rsidP="007412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EFA303" wp14:editId="39C428F5">
          <wp:simplePos x="0" y="0"/>
          <wp:positionH relativeFrom="column">
            <wp:posOffset>7746365</wp:posOffset>
          </wp:positionH>
          <wp:positionV relativeFrom="paragraph">
            <wp:posOffset>-281204</wp:posOffset>
          </wp:positionV>
          <wp:extent cx="1513205" cy="550545"/>
          <wp:effectExtent l="0" t="0" r="0" b="1905"/>
          <wp:wrapTight wrapText="bothSides">
            <wp:wrapPolygon edited="0">
              <wp:start x="0" y="0"/>
              <wp:lineTo x="0" y="20927"/>
              <wp:lineTo x="21210" y="20927"/>
              <wp:lineTo x="21210" y="0"/>
              <wp:lineTo x="0" y="0"/>
            </wp:wrapPolygon>
          </wp:wrapTight>
          <wp:docPr id="1380329916" name="Picture 1380329916" descr="University of Worcester Institute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329916" name="Picture 1380329916" descr="University of Worcester Institute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0584"/>
    <w:multiLevelType w:val="hybridMultilevel"/>
    <w:tmpl w:val="DAC4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6367"/>
    <w:multiLevelType w:val="hybridMultilevel"/>
    <w:tmpl w:val="B910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78C4"/>
    <w:multiLevelType w:val="hybridMultilevel"/>
    <w:tmpl w:val="7988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78D0"/>
    <w:multiLevelType w:val="hybridMultilevel"/>
    <w:tmpl w:val="1BDC1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91593"/>
    <w:multiLevelType w:val="hybridMultilevel"/>
    <w:tmpl w:val="C312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729950">
    <w:abstractNumId w:val="0"/>
  </w:num>
  <w:num w:numId="2" w16cid:durableId="1102989569">
    <w:abstractNumId w:val="4"/>
  </w:num>
  <w:num w:numId="3" w16cid:durableId="1297643272">
    <w:abstractNumId w:val="2"/>
  </w:num>
  <w:num w:numId="4" w16cid:durableId="423889371">
    <w:abstractNumId w:val="1"/>
  </w:num>
  <w:num w:numId="5" w16cid:durableId="1530337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45"/>
    <w:rsid w:val="00005283"/>
    <w:rsid w:val="0001186A"/>
    <w:rsid w:val="00012BAC"/>
    <w:rsid w:val="00035D3E"/>
    <w:rsid w:val="00045F5D"/>
    <w:rsid w:val="00047BD9"/>
    <w:rsid w:val="00073676"/>
    <w:rsid w:val="00081DFD"/>
    <w:rsid w:val="00086532"/>
    <w:rsid w:val="000A2BDA"/>
    <w:rsid w:val="000C7D9E"/>
    <w:rsid w:val="000D12DC"/>
    <w:rsid w:val="000D71BF"/>
    <w:rsid w:val="00100451"/>
    <w:rsid w:val="00106581"/>
    <w:rsid w:val="0011632D"/>
    <w:rsid w:val="00126539"/>
    <w:rsid w:val="001663C3"/>
    <w:rsid w:val="001878F1"/>
    <w:rsid w:val="00195445"/>
    <w:rsid w:val="001B7E6A"/>
    <w:rsid w:val="00204C25"/>
    <w:rsid w:val="0024131C"/>
    <w:rsid w:val="00245882"/>
    <w:rsid w:val="00254CBF"/>
    <w:rsid w:val="002677D5"/>
    <w:rsid w:val="00283D8D"/>
    <w:rsid w:val="002919B6"/>
    <w:rsid w:val="00297253"/>
    <w:rsid w:val="002D35DE"/>
    <w:rsid w:val="002D7913"/>
    <w:rsid w:val="002E45AD"/>
    <w:rsid w:val="002E65D3"/>
    <w:rsid w:val="002F6CA1"/>
    <w:rsid w:val="00326E89"/>
    <w:rsid w:val="0035543F"/>
    <w:rsid w:val="00383F8A"/>
    <w:rsid w:val="003955F4"/>
    <w:rsid w:val="00395D4D"/>
    <w:rsid w:val="0039637C"/>
    <w:rsid w:val="003F002A"/>
    <w:rsid w:val="00430A56"/>
    <w:rsid w:val="00432E33"/>
    <w:rsid w:val="004722C4"/>
    <w:rsid w:val="00483837"/>
    <w:rsid w:val="00491962"/>
    <w:rsid w:val="004D1059"/>
    <w:rsid w:val="004D5401"/>
    <w:rsid w:val="004F27E6"/>
    <w:rsid w:val="00524168"/>
    <w:rsid w:val="005300F9"/>
    <w:rsid w:val="00551639"/>
    <w:rsid w:val="00564123"/>
    <w:rsid w:val="005B167C"/>
    <w:rsid w:val="005C1C16"/>
    <w:rsid w:val="005F4BE5"/>
    <w:rsid w:val="00606E9B"/>
    <w:rsid w:val="00612B90"/>
    <w:rsid w:val="00620B0E"/>
    <w:rsid w:val="00635D51"/>
    <w:rsid w:val="006473D2"/>
    <w:rsid w:val="00665A17"/>
    <w:rsid w:val="00675229"/>
    <w:rsid w:val="00675A55"/>
    <w:rsid w:val="0068047B"/>
    <w:rsid w:val="006961F3"/>
    <w:rsid w:val="006D1E8A"/>
    <w:rsid w:val="006D3E80"/>
    <w:rsid w:val="0070022B"/>
    <w:rsid w:val="007203FB"/>
    <w:rsid w:val="00720FFB"/>
    <w:rsid w:val="00721E77"/>
    <w:rsid w:val="00723139"/>
    <w:rsid w:val="00724A77"/>
    <w:rsid w:val="00725290"/>
    <w:rsid w:val="00735A9E"/>
    <w:rsid w:val="00736265"/>
    <w:rsid w:val="00741285"/>
    <w:rsid w:val="00742B44"/>
    <w:rsid w:val="00762294"/>
    <w:rsid w:val="0077746D"/>
    <w:rsid w:val="00796197"/>
    <w:rsid w:val="007A7253"/>
    <w:rsid w:val="007E07E2"/>
    <w:rsid w:val="008163FE"/>
    <w:rsid w:val="0082430C"/>
    <w:rsid w:val="00845118"/>
    <w:rsid w:val="00867265"/>
    <w:rsid w:val="0087035B"/>
    <w:rsid w:val="00875546"/>
    <w:rsid w:val="008844BD"/>
    <w:rsid w:val="008A2EA3"/>
    <w:rsid w:val="008D2C63"/>
    <w:rsid w:val="00904D22"/>
    <w:rsid w:val="00905B32"/>
    <w:rsid w:val="00913F9A"/>
    <w:rsid w:val="00926AFD"/>
    <w:rsid w:val="009517C5"/>
    <w:rsid w:val="00976E33"/>
    <w:rsid w:val="009A4B54"/>
    <w:rsid w:val="009C21C7"/>
    <w:rsid w:val="009C7AC9"/>
    <w:rsid w:val="009D334D"/>
    <w:rsid w:val="009E5EB8"/>
    <w:rsid w:val="00A12FE8"/>
    <w:rsid w:val="00A13413"/>
    <w:rsid w:val="00A173C8"/>
    <w:rsid w:val="00A3440D"/>
    <w:rsid w:val="00A41B4D"/>
    <w:rsid w:val="00A66A08"/>
    <w:rsid w:val="00A81AD0"/>
    <w:rsid w:val="00AA490D"/>
    <w:rsid w:val="00AC093A"/>
    <w:rsid w:val="00AC6930"/>
    <w:rsid w:val="00AE001F"/>
    <w:rsid w:val="00B11270"/>
    <w:rsid w:val="00B151A0"/>
    <w:rsid w:val="00B51F8D"/>
    <w:rsid w:val="00B76C49"/>
    <w:rsid w:val="00BA24E9"/>
    <w:rsid w:val="00BA6E9D"/>
    <w:rsid w:val="00C154CE"/>
    <w:rsid w:val="00C21521"/>
    <w:rsid w:val="00C57842"/>
    <w:rsid w:val="00C652BB"/>
    <w:rsid w:val="00C74973"/>
    <w:rsid w:val="00CA6F53"/>
    <w:rsid w:val="00CB4B19"/>
    <w:rsid w:val="00CE561F"/>
    <w:rsid w:val="00CF5BE5"/>
    <w:rsid w:val="00D236D0"/>
    <w:rsid w:val="00D80B6D"/>
    <w:rsid w:val="00D8712D"/>
    <w:rsid w:val="00D941C6"/>
    <w:rsid w:val="00DB4CF4"/>
    <w:rsid w:val="00DC7CD4"/>
    <w:rsid w:val="00DD3673"/>
    <w:rsid w:val="00E04795"/>
    <w:rsid w:val="00E06B2B"/>
    <w:rsid w:val="00E3582A"/>
    <w:rsid w:val="00E407BF"/>
    <w:rsid w:val="00E93D06"/>
    <w:rsid w:val="00EB2973"/>
    <w:rsid w:val="00EC319A"/>
    <w:rsid w:val="00EF1C8C"/>
    <w:rsid w:val="00EF7825"/>
    <w:rsid w:val="00F02F6B"/>
    <w:rsid w:val="00F256F6"/>
    <w:rsid w:val="00F46F6C"/>
    <w:rsid w:val="00F56675"/>
    <w:rsid w:val="00F64822"/>
    <w:rsid w:val="00F94357"/>
    <w:rsid w:val="00FA05EA"/>
    <w:rsid w:val="00FB5C31"/>
    <w:rsid w:val="00FB7E98"/>
    <w:rsid w:val="00FC0E79"/>
    <w:rsid w:val="00FC54C2"/>
    <w:rsid w:val="00FD047F"/>
    <w:rsid w:val="00FE56AD"/>
    <w:rsid w:val="3925DFFC"/>
    <w:rsid w:val="3B8E3681"/>
    <w:rsid w:val="6386C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4E4A"/>
  <w15:chartTrackingRefBased/>
  <w15:docId w15:val="{F1F5D10C-9E9D-49AE-A9FE-999685E9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5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5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9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85"/>
  </w:style>
  <w:style w:type="paragraph" w:styleId="Footer">
    <w:name w:val="footer"/>
    <w:basedOn w:val="Normal"/>
    <w:link w:val="FooterChar"/>
    <w:uiPriority w:val="99"/>
    <w:unhideWhenUsed/>
    <w:rsid w:val="00741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5"/>
  </w:style>
  <w:style w:type="character" w:styleId="Hyperlink">
    <w:name w:val="Hyperlink"/>
    <w:basedOn w:val="DefaultParagraphFont"/>
    <w:uiPriority w:val="99"/>
    <w:unhideWhenUsed/>
    <w:rsid w:val="00913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07/s10648-010-9136-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imamurapubs.files.wordpress.com/2018/09/marge_shimamur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0/193457408025392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0BA3544AA4CBEAD12FB197FF310" ma:contentTypeVersion="27" ma:contentTypeDescription="Create a new document." ma:contentTypeScope="" ma:versionID="37cab5a4ec55d43d7f9e3033ab09f87d">
  <xsd:schema xmlns:xsd="http://www.w3.org/2001/XMLSchema" xmlns:xs="http://www.w3.org/2001/XMLSchema" xmlns:p="http://schemas.microsoft.com/office/2006/metadata/properties" xmlns:ns2="e58388b9-b7a3-4d3f-ab8d-864c02cd46ee" xmlns:ns3="8be23b67-6b90-4bdf-adf4-0189efa2c8be" targetNamespace="http://schemas.microsoft.com/office/2006/metadata/properties" ma:root="true" ma:fieldsID="bf104499129d414a37fafb70b623f9dc" ns2:_="" ns3:_="">
    <xsd:import namespace="e58388b9-b7a3-4d3f-ab8d-864c02cd46ee"/>
    <xsd:import namespace="8be23b67-6b90-4bdf-adf4-0189efa2c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q02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est_Score" minOccurs="0"/>
                <xsd:element ref="ns2:Test_Dat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88b9-b7a3-4d3f-ab8d-864c02c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q02a" ma:index="19" nillable="true" ma:displayName="Person or Group" ma:list="UserInfo" ma:internalName="q02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_Score" ma:index="24" nillable="true" ma:displayName="Test_Score" ma:internalName="Test_Score" ma:percentage="TRUE">
      <xsd:simpleType>
        <xsd:restriction base="dms:Number"/>
      </xsd:simpleType>
    </xsd:element>
    <xsd:element name="Test_Date" ma:index="25" nillable="true" ma:displayName="Test_Date" ma:format="DateOnly" ma:internalName="Test_Date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3b67-6b90-4bdf-adf4-0189efa2c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637395-c46d-4f67-9ba8-23466c3a398c}" ma:internalName="TaxCatchAll" ma:showField="CatchAllData" ma:web="8be23b67-6b90-4bdf-adf4-0189efa2c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388b9-b7a3-4d3f-ab8d-864c02cd46ee">
      <Terms xmlns="http://schemas.microsoft.com/office/infopath/2007/PartnerControls"/>
    </lcf76f155ced4ddcb4097134ff3c332f>
    <Test_Date xmlns="e58388b9-b7a3-4d3f-ab8d-864c02cd46ee" xsi:nil="true"/>
    <q02a xmlns="e58388b9-b7a3-4d3f-ab8d-864c02cd46ee">
      <UserInfo>
        <DisplayName/>
        <AccountId xsi:nil="true"/>
        <AccountType/>
      </UserInfo>
    </q02a>
    <TaxCatchAll xmlns="8be23b67-6b90-4bdf-adf4-0189efa2c8be" xsi:nil="true"/>
    <Test_Score xmlns="e58388b9-b7a3-4d3f-ab8d-864c02cd46ee" xsi:nil="true"/>
    <_Flow_SignoffStatus xmlns="e58388b9-b7a3-4d3f-ab8d-864c02cd46ee" xsi:nil="true"/>
  </documentManagement>
</p:properties>
</file>

<file path=customXml/itemProps1.xml><?xml version="1.0" encoding="utf-8"?>
<ds:datastoreItem xmlns:ds="http://schemas.openxmlformats.org/officeDocument/2006/customXml" ds:itemID="{3F4E77D5-EF99-4728-B3E2-9DAAD609E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0EE3C-6824-49B3-92BB-F3C49A1F7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388b9-b7a3-4d3f-ab8d-864c02cd46ee"/>
    <ds:schemaRef ds:uri="8be23b67-6b90-4bdf-adf4-0189efa2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CA746-93CF-40B7-9565-0E9A289151BD}">
  <ds:schemaRefs>
    <ds:schemaRef ds:uri="http://schemas.microsoft.com/office/2006/metadata/properties"/>
    <ds:schemaRef ds:uri="http://schemas.microsoft.com/office/infopath/2007/PartnerControls"/>
    <ds:schemaRef ds:uri="e58388b9-b7a3-4d3f-ab8d-864c02cd46ee"/>
    <ds:schemaRef ds:uri="8be23b67-6b90-4bdf-adf4-0189efa2c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>University of Worcester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ITaP1 E&amp;M Practicable Strategies</dc:title>
  <dc:subject>
  </dc:subject>
  <dc:creator>Sarah Emmerson</dc:creator>
  <cp:keywords>
  </cp:keywords>
  <dc:description>
  </dc:description>
  <cp:lastModifiedBy>z.parmenter</cp:lastModifiedBy>
  <cp:revision>3</cp:revision>
  <cp:lastPrinted>2023-06-19T15:56:00Z</cp:lastPrinted>
  <dcterms:created xsi:type="dcterms:W3CDTF">2024-01-30T17:24:00Z</dcterms:created>
  <dcterms:modified xsi:type="dcterms:W3CDTF">2024-01-31T09:29:48Z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0x0101003CADA0BA3544AA4CBEAD12FB197FF310</vt:lpwstr>
  </property>
  <property fmtid="{D5CDD505-2E9C-101B-9397-08002B2CF9AE}" pid="3" name="MediaServiceImageTags">
    <vt:lpwstr/>
  </property>
</Properties>
</file>