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41BE" w:rsidP="00234B8A" w:rsidRDefault="00EF41BE" w14:paraId="09204CFD" w14:textId="77777777">
      <w:pPr>
        <w:pStyle w:val="paragraph"/>
        <w:spacing w:before="0" w:beforeAutospacing="0" w:after="0" w:afterAutospacing="0"/>
        <w:textAlignment w:val="baseline"/>
        <w:rPr>
          <w:rStyle w:val="normaltextrun"/>
          <w:rFonts w:ascii="Calibri Light" w:hAnsi="Calibri Light" w:cs="Calibri Light"/>
          <w:sz w:val="40"/>
          <w:szCs w:val="40"/>
        </w:rPr>
      </w:pPr>
    </w:p>
    <w:p w:rsidRPr="00CF5974" w:rsidR="00234B8A" w:rsidP="69BA96F1" w:rsidRDefault="0EA0B9ED" w14:paraId="4E6B8E5D" w14:textId="74E77B6B">
      <w:pPr>
        <w:pStyle w:val="paragraph"/>
        <w:spacing w:before="0" w:beforeAutospacing="0" w:after="0" w:afterAutospacing="0"/>
        <w:textAlignment w:val="baseline"/>
      </w:pPr>
      <w:r w:rsidRPr="69BA96F1">
        <w:rPr>
          <w:rStyle w:val="normaltextrun"/>
          <w:rFonts w:ascii="Calibri Light" w:hAnsi="Calibri Light" w:cs="Calibri Light"/>
          <w:sz w:val="40"/>
          <w:szCs w:val="40"/>
        </w:rPr>
        <w:t>ITaP</w:t>
      </w:r>
      <w:r w:rsidRPr="69BA96F1" w:rsidR="009A2C20">
        <w:rPr>
          <w:rStyle w:val="normaltextrun"/>
          <w:rFonts w:ascii="Calibri Light" w:hAnsi="Calibri Light" w:cs="Calibri Light"/>
          <w:sz w:val="40"/>
          <w:szCs w:val="40"/>
        </w:rPr>
        <w:t>3</w:t>
      </w:r>
      <w:r w:rsidRPr="69BA96F1">
        <w:rPr>
          <w:rStyle w:val="normaltextrun"/>
          <w:rFonts w:ascii="Calibri Light" w:hAnsi="Calibri Light" w:cs="Calibri Light"/>
          <w:sz w:val="40"/>
          <w:szCs w:val="40"/>
        </w:rPr>
        <w:t xml:space="preserve"> Practicable Strategies – </w:t>
      </w:r>
      <w:r w:rsidRPr="69BA96F1" w:rsidR="5A7A3D94">
        <w:rPr>
          <w:rStyle w:val="normaltextrun"/>
          <w:rFonts w:ascii="Calibri Light" w:hAnsi="Calibri Light" w:cs="Calibri Light"/>
          <w:sz w:val="40"/>
          <w:szCs w:val="40"/>
        </w:rPr>
        <w:t>Assessment fo</w:t>
      </w:r>
      <w:r w:rsidRPr="69BA96F1" w:rsidR="006C69F8">
        <w:rPr>
          <w:rStyle w:val="normaltextrun"/>
          <w:rFonts w:ascii="Calibri Light" w:hAnsi="Calibri Light" w:cs="Calibri Light"/>
          <w:sz w:val="40"/>
          <w:szCs w:val="40"/>
        </w:rPr>
        <w:t xml:space="preserve">r </w:t>
      </w:r>
      <w:r w:rsidRPr="69BA96F1" w:rsidR="70761B15">
        <w:rPr>
          <w:rStyle w:val="normaltextrun"/>
          <w:rFonts w:ascii="Calibri Light" w:hAnsi="Calibri Light" w:cs="Calibri Light"/>
          <w:sz w:val="40"/>
          <w:szCs w:val="40"/>
        </w:rPr>
        <w:t>Impact</w:t>
      </w:r>
      <w:r w:rsidRPr="69BA96F1" w:rsidR="5A7A3D94">
        <w:rPr>
          <w:rStyle w:val="normaltextrun"/>
          <w:rFonts w:ascii="Calibri Light" w:hAnsi="Calibri Light" w:cs="Calibri Light"/>
          <w:sz w:val="40"/>
          <w:szCs w:val="40"/>
        </w:rPr>
        <w:t xml:space="preserve"> </w:t>
      </w:r>
      <w:r w:rsidRPr="69BA96F1" w:rsidR="76DF5B9E">
        <w:rPr>
          <w:rStyle w:val="normaltextrun"/>
          <w:rFonts w:ascii="Calibri Light" w:hAnsi="Calibri Light" w:cs="Calibri Light"/>
          <w:sz w:val="40"/>
          <w:szCs w:val="40"/>
        </w:rPr>
        <w:t>- Teacher feed</w:t>
      </w:r>
      <w:r w:rsidRPr="69BA96F1" w:rsidR="5BEDFF22">
        <w:rPr>
          <w:rStyle w:val="normaltextrun"/>
          <w:rFonts w:ascii="Calibri Light" w:hAnsi="Calibri Light" w:cs="Calibri Light"/>
          <w:sz w:val="40"/>
          <w:szCs w:val="40"/>
        </w:rPr>
        <w:t xml:space="preserve">back </w:t>
      </w:r>
      <w:r w:rsidRPr="69BA96F1" w:rsidR="76DF5B9E">
        <w:rPr>
          <w:rStyle w:val="normaltextrun"/>
          <w:rFonts w:ascii="Calibri Light" w:hAnsi="Calibri Light" w:cs="Calibri Light"/>
          <w:sz w:val="40"/>
          <w:szCs w:val="40"/>
        </w:rPr>
        <w:t xml:space="preserve">to </w:t>
      </w:r>
      <w:r w:rsidR="47750D8B">
        <w:rPr>
          <w:noProof/>
        </w:rPr>
        <w:drawing>
          <wp:inline distT="0" distB="0" distL="0" distR="0" wp14:anchorId="52090F19" wp14:editId="68447115">
            <wp:extent cx="1755800" cy="774259"/>
            <wp:effectExtent l="0" t="0" r="0" b="0"/>
            <wp:docPr id="972184305" name="Picture 972184305" descr="University of Worcester Institute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84305" name="Picture 972184305" descr="University of Worcester Institute of Education logo"/>
                    <pic:cNvPicPr/>
                  </pic:nvPicPr>
                  <pic:blipFill>
                    <a:blip r:embed="rId11">
                      <a:extLst>
                        <a:ext uri="{28A0092B-C50C-407E-A947-70E740481C1C}">
                          <a14:useLocalDpi xmlns:a14="http://schemas.microsoft.com/office/drawing/2010/main" val="0"/>
                        </a:ext>
                      </a:extLst>
                    </a:blip>
                    <a:stretch>
                      <a:fillRect/>
                    </a:stretch>
                  </pic:blipFill>
                  <pic:spPr>
                    <a:xfrm>
                      <a:off x="0" y="0"/>
                      <a:ext cx="1755800" cy="774259"/>
                    </a:xfrm>
                    <a:prstGeom prst="rect">
                      <a:avLst/>
                    </a:prstGeom>
                  </pic:spPr>
                </pic:pic>
              </a:graphicData>
            </a:graphic>
          </wp:inline>
        </w:drawing>
      </w:r>
    </w:p>
    <w:p w:rsidRPr="00CF5974" w:rsidR="00234B8A" w:rsidP="69BA96F1" w:rsidRDefault="76DF5B9E" w14:paraId="3E33839E" w14:textId="4EBF3902">
      <w:pPr>
        <w:pStyle w:val="paragraph"/>
        <w:spacing w:before="0" w:beforeAutospacing="0" w:after="0" w:afterAutospacing="0"/>
        <w:textAlignment w:val="baseline"/>
      </w:pPr>
      <w:r w:rsidRPr="69BA96F1">
        <w:rPr>
          <w:rStyle w:val="normaltextrun"/>
          <w:rFonts w:ascii="Calibri Light" w:hAnsi="Calibri Light" w:cs="Calibri Light"/>
          <w:sz w:val="40"/>
          <w:szCs w:val="40"/>
        </w:rPr>
        <w:t>Improve Pupil Learning</w:t>
      </w:r>
      <w:r w:rsidRPr="69BA96F1" w:rsidR="5A7A3D94">
        <w:rPr>
          <w:rStyle w:val="normaltextrun"/>
          <w:rFonts w:ascii="Calibri Light" w:hAnsi="Calibri Light" w:cs="Calibri Light"/>
          <w:sz w:val="40"/>
          <w:szCs w:val="40"/>
        </w:rPr>
        <w:t xml:space="preserve">- </w:t>
      </w:r>
      <w:r w:rsidRPr="69BA96F1" w:rsidR="0EA0B9ED">
        <w:rPr>
          <w:rStyle w:val="normaltextrun"/>
          <w:rFonts w:ascii="Calibri Light" w:hAnsi="Calibri Light" w:cs="Calibri Light"/>
          <w:sz w:val="40"/>
          <w:szCs w:val="40"/>
        </w:rPr>
        <w:t xml:space="preserve">(Phase </w:t>
      </w:r>
      <w:r w:rsidRPr="69BA96F1" w:rsidR="6CE7AF07">
        <w:rPr>
          <w:rStyle w:val="normaltextrun"/>
          <w:rFonts w:ascii="Calibri Light" w:hAnsi="Calibri Light" w:cs="Calibri Light"/>
          <w:sz w:val="40"/>
          <w:szCs w:val="40"/>
        </w:rPr>
        <w:t>3</w:t>
      </w:r>
      <w:r w:rsidRPr="69BA96F1" w:rsidR="0EA0B9ED">
        <w:rPr>
          <w:rStyle w:val="normaltextrun"/>
          <w:rFonts w:ascii="Calibri Light" w:hAnsi="Calibri Light" w:cs="Calibri Light"/>
          <w:sz w:val="40"/>
          <w:szCs w:val="40"/>
        </w:rPr>
        <w:t>)</w:t>
      </w:r>
      <w:r w:rsidRPr="69BA96F1" w:rsidR="0EA0B9ED">
        <w:rPr>
          <w:rStyle w:val="eop"/>
          <w:rFonts w:ascii="Calibri Light" w:hAnsi="Calibri Light" w:cs="Calibri Light"/>
          <w:sz w:val="40"/>
          <w:szCs w:val="40"/>
        </w:rPr>
        <w:t> </w:t>
      </w:r>
    </w:p>
    <w:p w:rsidRPr="00625E57" w:rsidR="00D57983" w:rsidP="5B10A2CB" w:rsidRDefault="00234B8A" w14:paraId="2C51FFD1" w14:textId="005E5A3E">
      <w:pPr>
        <w:textAlignment w:val="baseline"/>
        <w:rPr>
          <w:rStyle w:val="normaltextrun"/>
          <w:rFonts w:ascii="Calibri" w:hAnsi="Calibri" w:cs="Calibri"/>
          <w:sz w:val="20"/>
          <w:szCs w:val="20"/>
        </w:rPr>
      </w:pPr>
      <w:r w:rsidRPr="5B10A2CB">
        <w:rPr>
          <w:rStyle w:val="normaltextrun"/>
          <w:rFonts w:ascii="Calibri" w:hAnsi="Calibri" w:cs="Calibri"/>
          <w:b/>
          <w:bCs/>
        </w:rPr>
        <w:t xml:space="preserve">Desert Island Reading: </w:t>
      </w:r>
      <w:r w:rsidRPr="5B10A2CB" w:rsidR="1CFCBA83">
        <w:rPr>
          <w:rFonts w:ascii="Calibri" w:hAnsi="Calibri" w:eastAsia="Calibri" w:cs="Calibri"/>
          <w:color w:val="000000" w:themeColor="text1"/>
        </w:rPr>
        <w:t xml:space="preserve">Education Endowment Foundation (2021) Teacher Feedback to Improve Pupil Learning Guidance Report. [Online]. Available at: EEF_TeacherFeedbackToImproveLearning.pdf. Education Endowment Foundation (2021) Education Endowment Foundation Teaching and Learning Toolkit: Available at: https://educationendowmentfoundation.org.uk/education-evidence/teaching-learningtoolkit. </w:t>
      </w:r>
      <w:r w:rsidRPr="5B10A2CB" w:rsidR="1CFCBA83">
        <w:t xml:space="preserve"> </w:t>
      </w:r>
    </w:p>
    <w:p w:rsidRPr="00625E57" w:rsidR="00D57983" w:rsidP="5B10A2CB" w:rsidRDefault="00D57983" w14:paraId="29C2F770" w14:textId="12BD7125">
      <w:pPr>
        <w:pStyle w:val="paragraph"/>
        <w:spacing w:before="0" w:beforeAutospacing="0" w:after="0" w:afterAutospacing="0"/>
        <w:textAlignment w:val="baseline"/>
        <w:rPr>
          <w:rStyle w:val="normaltextrun"/>
          <w:rFonts w:ascii="Calibri" w:hAnsi="Calibri" w:cs="Calibri"/>
          <w:b/>
          <w:bCs/>
          <w:sz w:val="22"/>
          <w:szCs w:val="22"/>
        </w:rPr>
      </w:pPr>
    </w:p>
    <w:tbl>
      <w:tblPr>
        <w:tblStyle w:val="TableGrid"/>
        <w:tblW w:w="16019" w:type="dxa"/>
        <w:tblInd w:w="-299"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2772"/>
        <w:gridCol w:w="2001"/>
        <w:gridCol w:w="5382"/>
        <w:gridCol w:w="2729"/>
        <w:gridCol w:w="3135"/>
      </w:tblGrid>
      <w:tr w:rsidR="00175A39" w:rsidTr="00175A39" w14:paraId="1631F05F" w14:textId="77777777">
        <w:tc>
          <w:tcPr>
            <w:tcW w:w="2772" w:type="dxa"/>
            <w:vMerge w:val="restart"/>
          </w:tcPr>
          <w:p w:rsidR="00175A39" w:rsidP="4774DFD5" w:rsidRDefault="00175A39" w14:paraId="66CF16CC" w14:textId="77777777">
            <w:pPr>
              <w:jc w:val="center"/>
              <w:rPr>
                <w:b/>
                <w:bCs/>
              </w:rPr>
            </w:pPr>
            <w:r w:rsidRPr="4774DFD5">
              <w:rPr>
                <w:b/>
                <w:bCs/>
              </w:rPr>
              <w:t>4 goals for implementation</w:t>
            </w:r>
          </w:p>
          <w:p w:rsidRPr="00005689" w:rsidR="00175A39" w:rsidP="4774DFD5" w:rsidRDefault="00175A39" w14:paraId="21325CAB" w14:textId="31AA6EF8">
            <w:pPr>
              <w:jc w:val="center"/>
            </w:pPr>
            <w:r w:rsidRPr="4774DFD5">
              <w:rPr>
                <w:b/>
                <w:bCs/>
              </w:rPr>
              <w:t>(ITTECF 6.3, 6.4, 6.5, 6.6, 6.7)</w:t>
            </w:r>
          </w:p>
        </w:tc>
        <w:tc>
          <w:tcPr>
            <w:tcW w:w="13247" w:type="dxa"/>
            <w:gridSpan w:val="4"/>
          </w:tcPr>
          <w:p w:rsidRPr="00005689" w:rsidR="00175A39" w:rsidP="4774DFD5" w:rsidRDefault="00175A39" w14:paraId="436509B3" w14:textId="550FE8CF">
            <w:pPr>
              <w:jc w:val="center"/>
              <w:rPr>
                <w:rStyle w:val="normaltextrun"/>
                <w:rFonts w:ascii="Calibri" w:hAnsi="Calibri" w:cs="Calibri"/>
                <w:b/>
                <w:bCs/>
                <w:i/>
                <w:iCs/>
                <w:color w:val="000000"/>
                <w:shd w:val="clear" w:color="auto" w:fill="FFFFFF"/>
              </w:rPr>
            </w:pPr>
            <w:r w:rsidRPr="4774DFD5">
              <w:rPr>
                <w:rStyle w:val="normaltextrun"/>
                <w:rFonts w:ascii="Calibri" w:hAnsi="Calibri" w:cs="Calibri"/>
                <w:b/>
                <w:bCs/>
                <w:i/>
                <w:iCs/>
                <w:color w:val="000000"/>
                <w:shd w:val="clear" w:color="auto" w:fill="FFFFFF"/>
              </w:rPr>
              <w:t>Practicable strategies for ITAP 3 to support assessment for impact</w:t>
            </w:r>
          </w:p>
        </w:tc>
      </w:tr>
      <w:tr w:rsidR="00175A39" w:rsidTr="00175A39" w14:paraId="0B0882D7" w14:textId="77777777">
        <w:tc>
          <w:tcPr>
            <w:tcW w:w="2772" w:type="dxa"/>
            <w:vMerge/>
          </w:tcPr>
          <w:p w:rsidRPr="00234B8A" w:rsidR="00175A39" w:rsidP="00234B8A" w:rsidRDefault="00175A39" w14:paraId="188EA9C8" w14:textId="65954B18">
            <w:pPr>
              <w:jc w:val="center"/>
              <w:rPr>
                <w:b/>
                <w:bCs/>
              </w:rPr>
            </w:pPr>
          </w:p>
        </w:tc>
        <w:tc>
          <w:tcPr>
            <w:tcW w:w="2001" w:type="dxa"/>
          </w:tcPr>
          <w:p w:rsidR="00175A39" w:rsidP="4774DFD5" w:rsidRDefault="00175A39" w14:paraId="2F956124" w14:textId="3DB0C184">
            <w:pPr>
              <w:jc w:val="center"/>
              <w:rPr>
                <w:b/>
                <w:bCs/>
              </w:rPr>
            </w:pPr>
            <w:r w:rsidRPr="4774DFD5">
              <w:rPr>
                <w:b/>
                <w:bCs/>
              </w:rPr>
              <w:t>Strategy (ITTECF)</w:t>
            </w:r>
          </w:p>
          <w:p w:rsidRPr="00234B8A" w:rsidR="00175A39" w:rsidP="4774DFD5" w:rsidRDefault="00175A39" w14:paraId="34140F7C" w14:textId="71CC12A8">
            <w:pPr>
              <w:jc w:val="center"/>
              <w:rPr>
                <w:b/>
                <w:bCs/>
              </w:rPr>
            </w:pPr>
          </w:p>
        </w:tc>
        <w:tc>
          <w:tcPr>
            <w:tcW w:w="5382" w:type="dxa"/>
          </w:tcPr>
          <w:p w:rsidRPr="00234B8A" w:rsidR="00175A39" w:rsidP="4774DFD5" w:rsidRDefault="00175A39" w14:paraId="00A2D9DF" w14:textId="34AA467D">
            <w:pPr>
              <w:jc w:val="center"/>
              <w:rPr>
                <w:b/>
                <w:bCs/>
              </w:rPr>
            </w:pPr>
            <w:r w:rsidRPr="4774DFD5">
              <w:rPr>
                <w:b/>
                <w:bCs/>
              </w:rPr>
              <w:t>Summary</w:t>
            </w:r>
          </w:p>
        </w:tc>
        <w:tc>
          <w:tcPr>
            <w:tcW w:w="2729" w:type="dxa"/>
          </w:tcPr>
          <w:p w:rsidR="00175A39" w:rsidP="4774DFD5" w:rsidRDefault="00175A39" w14:paraId="028D00FB" w14:textId="77E26BD7">
            <w:pPr>
              <w:jc w:val="center"/>
              <w:rPr>
                <w:rStyle w:val="normaltextrun"/>
                <w:rFonts w:ascii="Calibri" w:hAnsi="Calibri" w:cs="Calibri"/>
                <w:b/>
                <w:bCs/>
                <w:color w:val="000000" w:themeColor="text1"/>
              </w:rPr>
            </w:pPr>
            <w:r w:rsidRPr="4774DFD5">
              <w:rPr>
                <w:rStyle w:val="normaltextrun"/>
                <w:rFonts w:ascii="Calibri" w:hAnsi="Calibri" w:cs="Calibri"/>
                <w:b/>
                <w:bCs/>
                <w:color w:val="000000"/>
                <w:shd w:val="clear" w:color="auto" w:fill="FFFFFF"/>
              </w:rPr>
              <w:t>Strategy outlined in:</w:t>
            </w:r>
          </w:p>
        </w:tc>
        <w:tc>
          <w:tcPr>
            <w:tcW w:w="3135" w:type="dxa"/>
          </w:tcPr>
          <w:p w:rsidR="00175A39" w:rsidP="4774DFD5" w:rsidRDefault="00175A39" w14:paraId="766B3CCD" w14:textId="44502120">
            <w:pPr>
              <w:jc w:val="center"/>
              <w:rPr>
                <w:rStyle w:val="normaltextrun"/>
                <w:rFonts w:ascii="Calibri" w:hAnsi="Calibri" w:cs="Calibri"/>
                <w:b/>
                <w:bCs/>
                <w:color w:val="000000" w:themeColor="text1"/>
              </w:rPr>
            </w:pPr>
            <w:r w:rsidRPr="4774DFD5">
              <w:rPr>
                <w:rStyle w:val="normaltextrun"/>
                <w:rFonts w:ascii="Calibri" w:hAnsi="Calibri" w:cs="Calibri"/>
                <w:b/>
                <w:bCs/>
                <w:color w:val="000000"/>
                <w:shd w:val="clear" w:color="auto" w:fill="FFFFFF"/>
              </w:rPr>
              <w:t>Reading underpinning the strategy</w:t>
            </w:r>
          </w:p>
        </w:tc>
      </w:tr>
      <w:tr w:rsidR="006A63EF" w:rsidTr="00175A39" w14:paraId="7F6A0E87" w14:textId="77777777">
        <w:trPr>
          <w:trHeight w:val="686"/>
        </w:trPr>
        <w:tc>
          <w:tcPr>
            <w:tcW w:w="2772" w:type="dxa"/>
            <w:vMerge w:val="restart"/>
            <w:shd w:val="clear" w:color="auto" w:fill="F7EDFD"/>
          </w:tcPr>
          <w:p w:rsidR="006A63EF" w:rsidP="4774DFD5" w:rsidRDefault="006A63EF" w14:paraId="0482706B" w14:textId="77777777">
            <w:pPr>
              <w:spacing w:after="160" w:line="259" w:lineRule="auto"/>
              <w:rPr>
                <w:b/>
                <w:bCs/>
                <w:u w:val="single"/>
              </w:rPr>
            </w:pPr>
          </w:p>
          <w:p w:rsidRPr="00491441" w:rsidR="006A63EF" w:rsidP="4774DFD5" w:rsidRDefault="006A63EF" w14:paraId="06D28500" w14:textId="4FC8AD59">
            <w:pPr>
              <w:spacing w:after="160" w:line="259" w:lineRule="auto"/>
              <w:jc w:val="center"/>
            </w:pPr>
            <w:r w:rsidRPr="4774DFD5">
              <w:rPr>
                <w:b/>
                <w:bCs/>
              </w:rPr>
              <w:t>Groundwork</w:t>
            </w:r>
            <w:r w:rsidRPr="4774DFD5">
              <w:t xml:space="preserve"> – Lay the foundations for effective feedback. Sharing learning intentions</w:t>
            </w:r>
          </w:p>
          <w:p w:rsidRPr="00491441" w:rsidR="006A63EF" w:rsidP="4774DFD5" w:rsidRDefault="006A63EF" w14:paraId="262B55E1" w14:textId="272FD75B">
            <w:pPr>
              <w:spacing w:after="160" w:line="259" w:lineRule="auto"/>
              <w:jc w:val="center"/>
            </w:pPr>
            <w:r>
              <w:rPr>
                <w:noProof/>
              </w:rPr>
              <w:drawing>
                <wp:inline distT="0" distB="0" distL="0" distR="0" wp14:anchorId="7949F7FC" wp14:editId="7F0CC0DC">
                  <wp:extent cx="548690" cy="431384"/>
                  <wp:effectExtent l="0" t="0" r="0" b="0"/>
                  <wp:docPr id="1208260871" name="Picture 12082608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60871" name="Picture 120826087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48690" cy="431384"/>
                          </a:xfrm>
                          <a:prstGeom prst="rect">
                            <a:avLst/>
                          </a:prstGeom>
                        </pic:spPr>
                      </pic:pic>
                    </a:graphicData>
                  </a:graphic>
                </wp:inline>
              </w:drawing>
            </w:r>
          </w:p>
          <w:p w:rsidRPr="00491441" w:rsidR="006A63EF" w:rsidP="4774DFD5" w:rsidRDefault="006A63EF" w14:paraId="2BE7067B" w14:textId="6B2EF82B">
            <w:pPr>
              <w:pStyle w:val="ListParagraph"/>
              <w:numPr>
                <w:ilvl w:val="0"/>
                <w:numId w:val="6"/>
              </w:numPr>
              <w:spacing w:after="160" w:line="259" w:lineRule="auto"/>
              <w:jc w:val="center"/>
              <w:rPr>
                <w:rFonts w:ascii="Calibri" w:hAnsi="Calibri" w:eastAsia="Calibri" w:cs="Calibri"/>
              </w:rPr>
            </w:pPr>
            <w:r w:rsidRPr="4774DFD5">
              <w:rPr>
                <w:rFonts w:ascii="Calibri" w:hAnsi="Calibri" w:eastAsia="Calibri" w:cs="Calibri"/>
              </w:rPr>
              <w:t xml:space="preserve">Clarifying, sharing and understanding learning intentions. </w:t>
            </w:r>
          </w:p>
          <w:p w:rsidRPr="00491441" w:rsidR="006A63EF" w:rsidP="4774DFD5" w:rsidRDefault="006A63EF" w14:paraId="60902EB9" w14:textId="1AE5B4E4">
            <w:pPr>
              <w:pStyle w:val="ListParagraph"/>
              <w:numPr>
                <w:ilvl w:val="0"/>
                <w:numId w:val="6"/>
              </w:numPr>
              <w:spacing w:after="160" w:line="259" w:lineRule="auto"/>
              <w:jc w:val="center"/>
              <w:rPr>
                <w:rFonts w:ascii="Calibri" w:hAnsi="Calibri" w:eastAsia="Calibri" w:cs="Calibri"/>
              </w:rPr>
            </w:pPr>
            <w:r w:rsidRPr="4774DFD5">
              <w:rPr>
                <w:rFonts w:ascii="Calibri" w:hAnsi="Calibri" w:eastAsia="Calibri" w:cs="Calibri"/>
              </w:rPr>
              <w:t xml:space="preserve">Eliciting evidence of learning intentions. </w:t>
            </w:r>
          </w:p>
        </w:tc>
        <w:tc>
          <w:tcPr>
            <w:tcW w:w="2001" w:type="dxa"/>
            <w:shd w:val="clear" w:color="auto" w:fill="F7EDFD"/>
          </w:tcPr>
          <w:p w:rsidR="006A63EF" w:rsidP="4774DFD5" w:rsidRDefault="006A63EF" w14:paraId="165D4707" w14:textId="74604067">
            <w:pPr>
              <w:pStyle w:val="ListParagraph"/>
              <w:numPr>
                <w:ilvl w:val="0"/>
                <w:numId w:val="7"/>
              </w:numPr>
            </w:pPr>
            <w:r w:rsidRPr="4774DFD5">
              <w:t>Strength</w:t>
            </w:r>
            <w:r w:rsidRPr="4774DFD5" w:rsidR="17D61B36">
              <w:t>s</w:t>
            </w:r>
            <w:r w:rsidRPr="4774DFD5">
              <w:t xml:space="preserve"> and weaknesses discussion</w:t>
            </w:r>
            <w:r w:rsidRPr="4774DFD5" w:rsidR="68393E52">
              <w:t xml:space="preserve"> (6f)</w:t>
            </w:r>
          </w:p>
        </w:tc>
        <w:tc>
          <w:tcPr>
            <w:tcW w:w="5382" w:type="dxa"/>
            <w:shd w:val="clear" w:color="auto" w:fill="F7EDFD"/>
          </w:tcPr>
          <w:p w:rsidRPr="00D70C5A" w:rsidR="006A63EF" w:rsidP="4774DFD5" w:rsidRDefault="006A63EF" w14:paraId="137A8687" w14:textId="4FC32706">
            <w:pPr>
              <w:rPr>
                <w:rFonts w:ascii="Calibri" w:hAnsi="Calibri" w:eastAsia="Calibri" w:cs="Calibri"/>
              </w:rPr>
            </w:pPr>
            <w:r w:rsidRPr="4774DFD5">
              <w:rPr>
                <w:rFonts w:ascii="Calibri" w:hAnsi="Calibri" w:eastAsia="Calibri" w:cs="Calibri"/>
              </w:rPr>
              <w:t>share with pupils anonymised examples of other children’s work, without informing them which you think is high or low quality; discuss the strengths and weaknesses of the work and use this discussion to construct a rubric for successful work in that area.</w:t>
            </w:r>
          </w:p>
        </w:tc>
        <w:tc>
          <w:tcPr>
            <w:tcW w:w="2729" w:type="dxa"/>
            <w:shd w:val="clear" w:color="auto" w:fill="F7EDFD"/>
          </w:tcPr>
          <w:p w:rsidRPr="00625E57" w:rsidR="006A63EF" w:rsidP="4774DFD5" w:rsidRDefault="6080669F" w14:paraId="5E87983F" w14:textId="1EC4CBCE">
            <w:pPr>
              <w:jc w:val="center"/>
              <w:rPr>
                <w:rFonts w:ascii="Calibri" w:hAnsi="Calibri" w:eastAsia="Calibri" w:cs="Calibri"/>
                <w:color w:val="000000" w:themeColor="text1"/>
              </w:rPr>
            </w:pPr>
            <w:r w:rsidRPr="4774DFD5">
              <w:rPr>
                <w:rFonts w:ascii="Calibri" w:hAnsi="Calibri" w:eastAsia="Calibri" w:cs="Calibri"/>
                <w:color w:val="000000" w:themeColor="text1"/>
              </w:rPr>
              <w:t>Education Endowment Foundation (2021) Teacher Feedback to Improve Pupil Learning Guidance Report.</w:t>
            </w:r>
          </w:p>
        </w:tc>
        <w:tc>
          <w:tcPr>
            <w:tcW w:w="3135" w:type="dxa"/>
            <w:shd w:val="clear" w:color="auto" w:fill="F7EDFD"/>
          </w:tcPr>
          <w:p w:rsidRPr="00005689" w:rsidR="006A63EF" w:rsidP="4774DFD5" w:rsidRDefault="22C5CC65" w14:paraId="12E8935D" w14:textId="396A4A3E">
            <w:pPr>
              <w:spacing w:line="259" w:lineRule="auto"/>
              <w:rPr>
                <w:rFonts w:ascii="Calibri" w:hAnsi="Calibri" w:eastAsia="Calibri" w:cs="Calibri"/>
              </w:rPr>
            </w:pPr>
            <w:r w:rsidRPr="4774DFD5">
              <w:rPr>
                <w:rFonts w:ascii="Calibri" w:hAnsi="Calibri" w:eastAsia="Calibri" w:cs="Calibri"/>
              </w:rPr>
              <w:t>Wiliam, D (2018), Embedded Formative Assessment (Second Edition), Solution Tree Press, Chapter 3.</w:t>
            </w:r>
          </w:p>
        </w:tc>
      </w:tr>
      <w:tr w:rsidR="006A63EF" w:rsidTr="00175A39" w14:paraId="1200E449" w14:textId="77777777">
        <w:trPr>
          <w:trHeight w:val="767"/>
        </w:trPr>
        <w:tc>
          <w:tcPr>
            <w:tcW w:w="2772" w:type="dxa"/>
            <w:vMerge/>
          </w:tcPr>
          <w:p w:rsidRPr="009C7511" w:rsidR="006A63EF" w:rsidP="004352FF" w:rsidRDefault="006A63EF" w14:paraId="73B705C9" w14:textId="77777777">
            <w:pPr>
              <w:jc w:val="center"/>
              <w:rPr>
                <w:b/>
                <w:bCs/>
                <w:u w:val="single"/>
              </w:rPr>
            </w:pPr>
          </w:p>
        </w:tc>
        <w:tc>
          <w:tcPr>
            <w:tcW w:w="2001" w:type="dxa"/>
            <w:shd w:val="clear" w:color="auto" w:fill="F7EDFD"/>
          </w:tcPr>
          <w:p w:rsidR="006A63EF" w:rsidP="4774DFD5" w:rsidRDefault="006A63EF" w14:paraId="48552451" w14:textId="33345D60">
            <w:pPr>
              <w:pStyle w:val="ListParagraph"/>
              <w:numPr>
                <w:ilvl w:val="0"/>
                <w:numId w:val="7"/>
              </w:numPr>
            </w:pPr>
            <w:r w:rsidRPr="4774DFD5">
              <w:t>Model work</w:t>
            </w:r>
          </w:p>
          <w:p w:rsidR="006A63EF" w:rsidP="4774DFD5" w:rsidRDefault="5CD10A6E" w14:paraId="4F65DC4A" w14:textId="0FE44C54">
            <w:pPr>
              <w:pStyle w:val="ListParagraph"/>
            </w:pPr>
            <w:r w:rsidRPr="4774DFD5">
              <w:t>(6</w:t>
            </w:r>
            <w:r w:rsidRPr="4774DFD5" w:rsidR="340944FA">
              <w:t>k</w:t>
            </w:r>
            <w:r w:rsidRPr="4774DFD5">
              <w:t>)</w:t>
            </w:r>
          </w:p>
        </w:tc>
        <w:tc>
          <w:tcPr>
            <w:tcW w:w="5382" w:type="dxa"/>
            <w:shd w:val="clear" w:color="auto" w:fill="F7EDFD"/>
          </w:tcPr>
          <w:p w:rsidRPr="00D70C5A" w:rsidR="006A63EF" w:rsidP="4774DFD5" w:rsidRDefault="006A63EF" w14:paraId="11C0EEDC" w14:textId="1D56AE5D">
            <w:pPr>
              <w:rPr>
                <w:rFonts w:ascii="Calibri" w:hAnsi="Calibri" w:eastAsia="Calibri" w:cs="Calibri"/>
              </w:rPr>
            </w:pPr>
            <w:r w:rsidRPr="4774DFD5">
              <w:rPr>
                <w:rFonts w:ascii="Calibri" w:hAnsi="Calibri" w:eastAsia="Calibri" w:cs="Calibri"/>
              </w:rPr>
              <w:t xml:space="preserve">share excellent examples of previous pupils’ work; discuss with the class what makes this work high quality. You may wish to focus on </w:t>
            </w:r>
            <w:proofErr w:type="gramStart"/>
            <w:r w:rsidRPr="4774DFD5">
              <w:rPr>
                <w:rFonts w:ascii="Calibri" w:hAnsi="Calibri" w:eastAsia="Calibri" w:cs="Calibri"/>
              </w:rPr>
              <w:t>particular elements</w:t>
            </w:r>
            <w:proofErr w:type="gramEnd"/>
            <w:r w:rsidRPr="4774DFD5">
              <w:rPr>
                <w:rFonts w:ascii="Calibri" w:hAnsi="Calibri" w:eastAsia="Calibri" w:cs="Calibri"/>
              </w:rPr>
              <w:t xml:space="preserve"> of the model answers.</w:t>
            </w:r>
          </w:p>
        </w:tc>
        <w:tc>
          <w:tcPr>
            <w:tcW w:w="2729" w:type="dxa"/>
            <w:shd w:val="clear" w:color="auto" w:fill="F7EDFD"/>
          </w:tcPr>
          <w:p w:rsidRPr="0086181F" w:rsidR="006A63EF" w:rsidP="4774DFD5" w:rsidRDefault="2EAFB41F" w14:paraId="31981795" w14:textId="0A734B31">
            <w:pPr>
              <w:jc w:val="center"/>
              <w:rPr>
                <w:rFonts w:ascii="Calibri" w:hAnsi="Calibri" w:eastAsia="Calibri" w:cs="Calibri"/>
                <w:color w:val="000000" w:themeColor="text1"/>
              </w:rPr>
            </w:pPr>
            <w:r w:rsidRPr="4774DFD5">
              <w:rPr>
                <w:rFonts w:ascii="Calibri" w:hAnsi="Calibri" w:eastAsia="Calibri" w:cs="Calibri"/>
                <w:color w:val="000000" w:themeColor="text1"/>
              </w:rPr>
              <w:t>Education Endowment Foundation (2021) Teacher Feedback to Improve Pupil Learning Guidance Report</w:t>
            </w:r>
          </w:p>
        </w:tc>
        <w:tc>
          <w:tcPr>
            <w:tcW w:w="3135" w:type="dxa"/>
            <w:shd w:val="clear" w:color="auto" w:fill="F7EDFD"/>
          </w:tcPr>
          <w:p w:rsidRPr="00005689" w:rsidR="006A63EF" w:rsidP="4774DFD5" w:rsidRDefault="545D7591" w14:paraId="32CD88AB" w14:textId="7805F93E">
            <w:pPr>
              <w:rPr>
                <w:rFonts w:ascii="Calibri" w:hAnsi="Calibri" w:eastAsia="Calibri" w:cs="Calibri"/>
              </w:rPr>
            </w:pPr>
            <w:r w:rsidRPr="4774DFD5">
              <w:rPr>
                <w:rFonts w:ascii="Calibri" w:hAnsi="Calibri" w:eastAsia="Calibri" w:cs="Calibri"/>
              </w:rPr>
              <w:t>Wiliam, D (2018), Embedded Formative Assessment (Second Edition), Solution Tree Press, Chapter 3.</w:t>
            </w:r>
          </w:p>
        </w:tc>
      </w:tr>
      <w:tr w:rsidR="006A63EF" w:rsidTr="00175A39" w14:paraId="7F6E46F1" w14:textId="77777777">
        <w:trPr>
          <w:trHeight w:val="300"/>
        </w:trPr>
        <w:tc>
          <w:tcPr>
            <w:tcW w:w="2772" w:type="dxa"/>
            <w:vMerge/>
          </w:tcPr>
          <w:p w:rsidRPr="009C7511" w:rsidR="006A63EF" w:rsidP="004352FF" w:rsidRDefault="006A63EF" w14:paraId="79D23E0E" w14:textId="77777777">
            <w:pPr>
              <w:jc w:val="center"/>
              <w:rPr>
                <w:b/>
                <w:bCs/>
                <w:u w:val="single"/>
              </w:rPr>
            </w:pPr>
          </w:p>
        </w:tc>
        <w:tc>
          <w:tcPr>
            <w:tcW w:w="2001" w:type="dxa"/>
            <w:shd w:val="clear" w:color="auto" w:fill="F7EDFD"/>
          </w:tcPr>
          <w:p w:rsidR="006A63EF" w:rsidP="4774DFD5" w:rsidRDefault="006A63EF" w14:paraId="11A39134" w14:textId="43BA874B">
            <w:pPr>
              <w:pStyle w:val="ListParagraph"/>
              <w:numPr>
                <w:ilvl w:val="0"/>
                <w:numId w:val="7"/>
              </w:numPr>
            </w:pPr>
            <w:r w:rsidRPr="4774DFD5">
              <w:t xml:space="preserve"> What not to write (non-examples)</w:t>
            </w:r>
            <w:r w:rsidRPr="4774DFD5" w:rsidR="7D077A1B">
              <w:t xml:space="preserve"> (6k)</w:t>
            </w:r>
          </w:p>
        </w:tc>
        <w:tc>
          <w:tcPr>
            <w:tcW w:w="5382" w:type="dxa"/>
            <w:shd w:val="clear" w:color="auto" w:fill="F7EDFD"/>
          </w:tcPr>
          <w:p w:rsidRPr="00D70C5A" w:rsidR="006A63EF" w:rsidP="4774DFD5" w:rsidRDefault="006A63EF" w14:paraId="4B0643F1" w14:textId="470BD6CC">
            <w:pPr>
              <w:rPr>
                <w:rFonts w:ascii="Calibri" w:hAnsi="Calibri" w:eastAsia="Calibri" w:cs="Calibri"/>
              </w:rPr>
            </w:pPr>
            <w:r w:rsidRPr="4774DFD5">
              <w:rPr>
                <w:rFonts w:ascii="Calibri" w:hAnsi="Calibri" w:eastAsia="Calibri" w:cs="Calibri"/>
              </w:rPr>
              <w:t>discuss with the class a list of ‘what not to write’. This could follow a presentation to the class of an incorrect pupil response to a task; these are sometimes referred to as ‘non-examples’</w:t>
            </w:r>
          </w:p>
        </w:tc>
        <w:tc>
          <w:tcPr>
            <w:tcW w:w="2729" w:type="dxa"/>
            <w:shd w:val="clear" w:color="auto" w:fill="F7EDFD"/>
          </w:tcPr>
          <w:p w:rsidRPr="0086181F" w:rsidR="006A63EF" w:rsidP="4774DFD5" w:rsidRDefault="587EDA7D" w14:paraId="4A695C67" w14:textId="316E91A6">
            <w:pPr>
              <w:jc w:val="center"/>
              <w:rPr>
                <w:rFonts w:ascii="Calibri" w:hAnsi="Calibri" w:eastAsia="Calibri" w:cs="Calibri"/>
                <w:color w:val="000000" w:themeColor="text1"/>
              </w:rPr>
            </w:pPr>
            <w:r w:rsidRPr="4774DFD5">
              <w:rPr>
                <w:rFonts w:ascii="Calibri" w:hAnsi="Calibri" w:eastAsia="Calibri" w:cs="Calibri"/>
                <w:color w:val="000000" w:themeColor="text1"/>
              </w:rPr>
              <w:t>Education Endowment Foundation (2021) Teacher Feedback to Improve Pupil Learning Guidance Report</w:t>
            </w:r>
          </w:p>
        </w:tc>
        <w:tc>
          <w:tcPr>
            <w:tcW w:w="3135" w:type="dxa"/>
            <w:shd w:val="clear" w:color="auto" w:fill="F7EDFD"/>
          </w:tcPr>
          <w:p w:rsidRPr="00005689" w:rsidR="006A63EF" w:rsidP="4774DFD5" w:rsidRDefault="62B3CF6A" w14:paraId="470AABD1" w14:textId="7C46B314">
            <w:pPr>
              <w:rPr>
                <w:rFonts w:ascii="Calibri" w:hAnsi="Calibri" w:eastAsia="Calibri" w:cs="Calibri"/>
              </w:rPr>
            </w:pPr>
            <w:r w:rsidRPr="4774DFD5">
              <w:rPr>
                <w:rFonts w:ascii="Calibri" w:hAnsi="Calibri" w:eastAsia="Calibri" w:cs="Calibri"/>
              </w:rPr>
              <w:t>Wiliam, D (2018), Embedded Formative Assessment (Second Edition), Solution Tree Press, Chapter 3.</w:t>
            </w:r>
          </w:p>
        </w:tc>
      </w:tr>
      <w:tr w:rsidR="00E933B8" w:rsidTr="00175A39" w14:paraId="6C93246C" w14:textId="77777777">
        <w:trPr>
          <w:trHeight w:val="600"/>
        </w:trPr>
        <w:tc>
          <w:tcPr>
            <w:tcW w:w="2772" w:type="dxa"/>
            <w:vMerge w:val="restart"/>
            <w:shd w:val="clear" w:color="auto" w:fill="EDD5FB"/>
          </w:tcPr>
          <w:p w:rsidRPr="00491441" w:rsidR="00E933B8" w:rsidP="4774DFD5" w:rsidRDefault="00E933B8" w14:paraId="3D6DB425" w14:textId="7C8B94ED">
            <w:pPr>
              <w:jc w:val="center"/>
            </w:pPr>
            <w:r w:rsidRPr="4774DFD5">
              <w:rPr>
                <w:b/>
                <w:bCs/>
              </w:rPr>
              <w:t>Foundations</w:t>
            </w:r>
            <w:r w:rsidRPr="4774DFD5">
              <w:t xml:space="preserve"> – moving learning forward. </w:t>
            </w:r>
          </w:p>
          <w:p w:rsidRPr="00491441" w:rsidR="00E933B8" w:rsidP="4774DFD5" w:rsidRDefault="00E933B8" w14:paraId="4D2711F5" w14:textId="2F389092">
            <w:pPr>
              <w:jc w:val="center"/>
            </w:pPr>
            <w:r>
              <w:rPr>
                <w:noProof/>
              </w:rPr>
              <w:drawing>
                <wp:inline distT="0" distB="0" distL="0" distR="0" wp14:anchorId="2A31C072" wp14:editId="274FA8D7">
                  <wp:extent cx="514350" cy="514350"/>
                  <wp:effectExtent l="0" t="0" r="0" b="0"/>
                  <wp:docPr id="351671096" name="Picture 3516710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71096" name="Picture 35167109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rsidRPr="00491441" w:rsidR="00E933B8" w:rsidP="4774DFD5" w:rsidRDefault="00E933B8" w14:paraId="682F8D3E" w14:textId="6CC029B9">
            <w:pPr>
              <w:jc w:val="center"/>
            </w:pPr>
            <w:r w:rsidRPr="4774DFD5">
              <w:lastRenderedPageBreak/>
              <w:t xml:space="preserve">Providing feedback that moves learning forward. </w:t>
            </w:r>
            <w:r w:rsidRPr="4774DFD5">
              <w:rPr>
                <w:b/>
                <w:bCs/>
              </w:rPr>
              <w:t>When</w:t>
            </w:r>
            <w:r w:rsidRPr="4774DFD5">
              <w:t xml:space="preserve"> to provide feedback and </w:t>
            </w:r>
            <w:r w:rsidRPr="4774DFD5">
              <w:rPr>
                <w:b/>
                <w:bCs/>
              </w:rPr>
              <w:t>what</w:t>
            </w:r>
            <w:r w:rsidRPr="4774DFD5">
              <w:t xml:space="preserve"> to focus on. </w:t>
            </w:r>
          </w:p>
          <w:p w:rsidRPr="00491441" w:rsidR="00E933B8" w:rsidP="4774DFD5" w:rsidRDefault="00E933B8" w14:paraId="22BC56A4" w14:textId="35608830">
            <w:pPr>
              <w:jc w:val="center"/>
            </w:pPr>
          </w:p>
        </w:tc>
        <w:tc>
          <w:tcPr>
            <w:tcW w:w="2001" w:type="dxa"/>
            <w:shd w:val="clear" w:color="auto" w:fill="EDD5FB"/>
          </w:tcPr>
          <w:p w:rsidR="286E6958" w:rsidP="4774DFD5" w:rsidRDefault="286E6958" w14:paraId="36794A47" w14:textId="109499C9">
            <w:pPr>
              <w:pStyle w:val="ListParagraph"/>
              <w:numPr>
                <w:ilvl w:val="0"/>
                <w:numId w:val="7"/>
              </w:numPr>
            </w:pPr>
            <w:r w:rsidRPr="4774DFD5">
              <w:lastRenderedPageBreak/>
              <w:t>Task</w:t>
            </w:r>
            <w:r w:rsidRPr="4774DFD5" w:rsidR="3E24D303">
              <w:t xml:space="preserve"> – Success criteria </w:t>
            </w:r>
            <w:r w:rsidRPr="4774DFD5" w:rsidR="00E4426B">
              <w:t>(pre-flight checklist)</w:t>
            </w:r>
            <w:r w:rsidRPr="4774DFD5" w:rsidR="02D9E284">
              <w:t xml:space="preserve"> (6a)</w:t>
            </w:r>
          </w:p>
        </w:tc>
        <w:tc>
          <w:tcPr>
            <w:tcW w:w="5382" w:type="dxa"/>
            <w:shd w:val="clear" w:color="auto" w:fill="EDD5FB"/>
          </w:tcPr>
          <w:p w:rsidR="00863F7A" w:rsidP="4774DFD5" w:rsidRDefault="00863F7A" w14:paraId="3DD58F16" w14:textId="52A51156">
            <w:r w:rsidRPr="4774DFD5">
              <w:t xml:space="preserve">Examine </w:t>
            </w:r>
            <w:r w:rsidRPr="4774DFD5" w:rsidR="009573D4">
              <w:t>exemplars</w:t>
            </w:r>
            <w:r w:rsidRPr="4774DFD5" w:rsidR="00AD7019">
              <w:t xml:space="preserve"> </w:t>
            </w:r>
            <w:r w:rsidRPr="4774DFD5" w:rsidR="00807C94">
              <w:t>at different standards</w:t>
            </w:r>
            <w:r w:rsidRPr="4774DFD5" w:rsidR="00674797">
              <w:t xml:space="preserve">. Establish the success criteria, check for understanding, </w:t>
            </w:r>
            <w:r w:rsidRPr="4774DFD5" w:rsidR="00B77DD3">
              <w:t>assess work against the criteria</w:t>
            </w:r>
            <w:r w:rsidRPr="4774DFD5" w:rsidR="009573D4">
              <w:t xml:space="preserve">, initiate an improvement cycle </w:t>
            </w:r>
          </w:p>
        </w:tc>
        <w:tc>
          <w:tcPr>
            <w:tcW w:w="2729" w:type="dxa"/>
            <w:shd w:val="clear" w:color="auto" w:fill="EDD5FB"/>
          </w:tcPr>
          <w:p w:rsidR="009573D4" w:rsidP="4774DFD5" w:rsidRDefault="009573D4" w14:paraId="4FCBF229" w14:textId="674A88E9">
            <w:pPr>
              <w:jc w:val="center"/>
            </w:pPr>
            <w:r w:rsidRPr="4774DFD5">
              <w:t>Teaching Walk</w:t>
            </w:r>
            <w:r w:rsidRPr="4774DFD5" w:rsidR="15B0F7B2">
              <w:t>T</w:t>
            </w:r>
            <w:r w:rsidRPr="4774DFD5">
              <w:t xml:space="preserve">hrus 2 </w:t>
            </w:r>
            <w:r w:rsidRPr="4774DFD5" w:rsidR="00870BAE">
              <w:t>p112</w:t>
            </w:r>
          </w:p>
        </w:tc>
        <w:tc>
          <w:tcPr>
            <w:tcW w:w="3135" w:type="dxa"/>
            <w:shd w:val="clear" w:color="auto" w:fill="EDD5FB"/>
          </w:tcPr>
          <w:p w:rsidR="008C3CC1" w:rsidP="4774DFD5" w:rsidRDefault="008C3CC1" w14:paraId="5E6BDA94" w14:textId="07BC10DE">
            <w:r w:rsidRPr="4774DFD5">
              <w:t>Wiliam, D (2018), Embedded Formative Assessment (Second Edition), Solution Tree Press, p.145: As Wiliam has explained, ‘feedback should relate to the learning goals that the teacher has shared with the students’</w:t>
            </w:r>
          </w:p>
        </w:tc>
      </w:tr>
      <w:tr w:rsidR="2CDCED00" w:rsidTr="00175A39" w14:paraId="70865CAE" w14:textId="77777777">
        <w:trPr>
          <w:trHeight w:val="300"/>
        </w:trPr>
        <w:tc>
          <w:tcPr>
            <w:tcW w:w="2772" w:type="dxa"/>
            <w:vMerge/>
          </w:tcPr>
          <w:p w:rsidR="00361AAB" w:rsidRDefault="00361AAB" w14:paraId="71773967" w14:textId="77777777"/>
        </w:tc>
        <w:tc>
          <w:tcPr>
            <w:tcW w:w="2001" w:type="dxa"/>
            <w:shd w:val="clear" w:color="auto" w:fill="EDD5FB"/>
          </w:tcPr>
          <w:p w:rsidR="7B53DC7E" w:rsidP="4774DFD5" w:rsidRDefault="5851AE73" w14:paraId="51C859F4" w14:textId="45788532">
            <w:pPr>
              <w:pStyle w:val="ListParagraph"/>
              <w:numPr>
                <w:ilvl w:val="0"/>
                <w:numId w:val="7"/>
              </w:numPr>
            </w:pPr>
            <w:r w:rsidRPr="4774DFD5">
              <w:t xml:space="preserve">Subject - </w:t>
            </w:r>
            <w:r w:rsidRPr="4774DFD5" w:rsidR="7B53DC7E">
              <w:t>Feedback for Action</w:t>
            </w:r>
            <w:r w:rsidRPr="4774DFD5" w:rsidR="4C1FC4A3">
              <w:t xml:space="preserve"> (6d)</w:t>
            </w:r>
          </w:p>
        </w:tc>
        <w:tc>
          <w:tcPr>
            <w:tcW w:w="5382" w:type="dxa"/>
            <w:shd w:val="clear" w:color="auto" w:fill="EDD5FB"/>
          </w:tcPr>
          <w:p w:rsidR="6A91C135" w:rsidP="4774DFD5" w:rsidRDefault="6A91C135" w14:paraId="1AAD8C4D" w14:textId="447865FB">
            <w:r w:rsidRPr="4774DFD5">
              <w:t>Give feedback on the action they can improve. Bright spots – specifically what they are doing well. Pr</w:t>
            </w:r>
            <w:r w:rsidRPr="4774DFD5" w:rsidR="00307B3E">
              <w:t>e</w:t>
            </w:r>
            <w:r w:rsidRPr="4774DFD5">
              <w:t>cise next steps, feed forward and follow-</w:t>
            </w:r>
            <w:r w:rsidRPr="4774DFD5" w:rsidR="48D8465E">
              <w:t xml:space="preserve">up </w:t>
            </w:r>
          </w:p>
        </w:tc>
        <w:tc>
          <w:tcPr>
            <w:tcW w:w="2729" w:type="dxa"/>
            <w:shd w:val="clear" w:color="auto" w:fill="EDD5FB"/>
          </w:tcPr>
          <w:p w:rsidR="6A91C135" w:rsidP="4774DFD5" w:rsidRDefault="6A91C135" w14:paraId="4828C5C9" w14:textId="1C64F03D">
            <w:pPr>
              <w:jc w:val="center"/>
            </w:pPr>
            <w:r w:rsidRPr="4774DFD5">
              <w:t>The Teaching and Learning Playbook p145</w:t>
            </w:r>
          </w:p>
          <w:p w:rsidR="4774DFD5" w:rsidP="4774DFD5" w:rsidRDefault="4774DFD5" w14:paraId="3EAC6AD4" w14:textId="411DFD79">
            <w:pPr>
              <w:jc w:val="center"/>
            </w:pPr>
          </w:p>
        </w:tc>
        <w:tc>
          <w:tcPr>
            <w:tcW w:w="3135" w:type="dxa"/>
            <w:shd w:val="clear" w:color="auto" w:fill="EDD5FB"/>
          </w:tcPr>
          <w:p w:rsidR="2CDCED00" w:rsidP="4774DFD5" w:rsidRDefault="00D963E8" w14:paraId="3F541965" w14:textId="423BA1AF">
            <w:r w:rsidRPr="4774DFD5">
              <w:t>Elliott, V et al (2020), Feedback in Action: A review of practice in English schools, Department of Education, University of Oxford, Education Endowment Foundation.</w:t>
            </w:r>
          </w:p>
        </w:tc>
      </w:tr>
      <w:tr w:rsidR="00E933B8" w:rsidTr="00175A39" w14:paraId="795131C7" w14:textId="77777777">
        <w:trPr>
          <w:trHeight w:val="2535"/>
        </w:trPr>
        <w:tc>
          <w:tcPr>
            <w:tcW w:w="2772" w:type="dxa"/>
            <w:vMerge/>
          </w:tcPr>
          <w:p w:rsidR="00E933B8" w:rsidP="58155664" w:rsidRDefault="00E933B8" w14:paraId="42905994" w14:textId="72417D93">
            <w:pPr>
              <w:jc w:val="center"/>
              <w:rPr>
                <w:b/>
                <w:bCs/>
              </w:rPr>
            </w:pPr>
          </w:p>
        </w:tc>
        <w:tc>
          <w:tcPr>
            <w:tcW w:w="2001" w:type="dxa"/>
            <w:shd w:val="clear" w:color="auto" w:fill="EDD5FB"/>
          </w:tcPr>
          <w:p w:rsidR="00E933B8" w:rsidP="4774DFD5" w:rsidRDefault="474E3256" w14:paraId="0F9005D5" w14:textId="6523BFEC">
            <w:pPr>
              <w:pStyle w:val="ListParagraph"/>
              <w:numPr>
                <w:ilvl w:val="0"/>
                <w:numId w:val="7"/>
              </w:numPr>
            </w:pPr>
            <w:r w:rsidRPr="42DEAC55">
              <w:t>Self-regulation</w:t>
            </w:r>
            <w:r w:rsidRPr="42DEAC55" w:rsidR="286E6958">
              <w:t xml:space="preserve"> – keep it positive and specific</w:t>
            </w:r>
            <w:r w:rsidRPr="42DEAC55" w:rsidR="00AF45EE">
              <w:t xml:space="preserve"> (6j)</w:t>
            </w:r>
          </w:p>
        </w:tc>
        <w:tc>
          <w:tcPr>
            <w:tcW w:w="5382" w:type="dxa"/>
            <w:shd w:val="clear" w:color="auto" w:fill="EDD5FB"/>
          </w:tcPr>
          <w:p w:rsidR="00E933B8" w:rsidP="4774DFD5" w:rsidRDefault="00E933B8" w14:paraId="7B7A8210" w14:textId="5E98B051">
            <w:r w:rsidRPr="42DEAC55">
              <w:t xml:space="preserve">Frame feedback in language that is positive and encouraging. Tell students the things they are succeeding at they should continue to reinforce alongside the things they can do differently. Be specific but specify how the conclusion can be improved. </w:t>
            </w:r>
            <w:r w:rsidRPr="42DEAC55" w:rsidR="28AF9136">
              <w:t>e.g.</w:t>
            </w:r>
            <w:r w:rsidRPr="42DEAC55">
              <w:t xml:space="preserve"> not </w:t>
            </w:r>
            <w:r w:rsidRPr="42DEAC55" w:rsidR="65946E02">
              <w:t>‘</w:t>
            </w:r>
            <w:r w:rsidRPr="42DEAC55">
              <w:t>write a better conclusion</w:t>
            </w:r>
            <w:r w:rsidRPr="42DEAC55" w:rsidR="273334D1">
              <w:t>’</w:t>
            </w:r>
          </w:p>
          <w:p w:rsidR="00E933B8" w:rsidP="4774DFD5" w:rsidRDefault="00E933B8" w14:paraId="5BEC6E41" w14:textId="659BDD33"/>
          <w:p w:rsidR="00E933B8" w:rsidP="4774DFD5" w:rsidRDefault="00E933B8" w14:paraId="676B3B35" w14:textId="3AAF5BB7"/>
          <w:p w:rsidR="00E933B8" w:rsidP="4774DFD5" w:rsidRDefault="00E933B8" w14:paraId="7157192E" w14:textId="6C673502"/>
        </w:tc>
        <w:tc>
          <w:tcPr>
            <w:tcW w:w="2729" w:type="dxa"/>
            <w:shd w:val="clear" w:color="auto" w:fill="EDD5FB"/>
          </w:tcPr>
          <w:p w:rsidR="00E933B8" w:rsidP="4774DFD5" w:rsidRDefault="00E933B8" w14:paraId="2B2E89C4" w14:textId="777A6B6D">
            <w:pPr>
              <w:jc w:val="center"/>
            </w:pPr>
            <w:r w:rsidRPr="42DEAC55">
              <w:t xml:space="preserve">Teaching </w:t>
            </w:r>
            <w:bookmarkStart w:name="_Int_Fm5pCuty" w:id="0"/>
            <w:r w:rsidRPr="42DEAC55" w:rsidR="64BB84DC">
              <w:t>WalkThrus</w:t>
            </w:r>
            <w:bookmarkEnd w:id="0"/>
            <w:r w:rsidRPr="42DEAC55">
              <w:t xml:space="preserve"> –page 14</w:t>
            </w:r>
          </w:p>
          <w:p w:rsidR="00E933B8" w:rsidP="4774DFD5" w:rsidRDefault="00E933B8" w14:paraId="458F6D75" w14:textId="6EA564F4">
            <w:pPr>
              <w:jc w:val="center"/>
            </w:pPr>
          </w:p>
        </w:tc>
        <w:tc>
          <w:tcPr>
            <w:tcW w:w="3135" w:type="dxa"/>
            <w:shd w:val="clear" w:color="auto" w:fill="EDD5FB"/>
          </w:tcPr>
          <w:p w:rsidR="00E933B8" w:rsidP="4774DFD5" w:rsidRDefault="0073611A" w14:paraId="0A0583F0" w14:textId="4DFAD002">
            <w:r w:rsidRPr="42DEAC55">
              <w:t xml:space="preserve">Hattie, J and Timperley, H, (2007), The Power of Feedback, Review of Educational Research, 77 (1), 81–112. Kluger, A. N., &amp; DeNisi, A. (1996). The effects of feedback interventions on performance: A historical review, a </w:t>
            </w:r>
            <w:r w:rsidRPr="42DEAC55" w:rsidR="0C3B3EC1">
              <w:t>meta-analysis</w:t>
            </w:r>
            <w:r w:rsidRPr="42DEAC55">
              <w:t>, and a preliminary feedback intervention theory. Psychological Bulletin, 119(2), 254–284.</w:t>
            </w:r>
          </w:p>
        </w:tc>
      </w:tr>
      <w:tr w:rsidR="006C5CDB" w:rsidTr="00175A39" w14:paraId="2D00354F" w14:textId="77777777">
        <w:tc>
          <w:tcPr>
            <w:tcW w:w="2772" w:type="dxa"/>
            <w:vMerge w:val="restart"/>
            <w:shd w:val="clear" w:color="auto" w:fill="E6C7F9"/>
          </w:tcPr>
          <w:p w:rsidRPr="00491441" w:rsidR="006C5CDB" w:rsidP="4774DFD5" w:rsidRDefault="006C5CDB" w14:paraId="5D33B8FA" w14:textId="0B0310BA">
            <w:pPr>
              <w:jc w:val="center"/>
            </w:pPr>
            <w:r w:rsidRPr="4774DFD5">
              <w:rPr>
                <w:b/>
                <w:bCs/>
              </w:rPr>
              <w:t>Building</w:t>
            </w:r>
            <w:r w:rsidRPr="4774DFD5">
              <w:t xml:space="preserve"> – </w:t>
            </w:r>
            <w:proofErr w:type="gramStart"/>
            <w:r w:rsidRPr="4774DFD5">
              <w:t>take into account</w:t>
            </w:r>
            <w:proofErr w:type="gramEnd"/>
            <w:r w:rsidRPr="4774DFD5">
              <w:t xml:space="preserve"> how learners receive and use feedback information. What pupils do with it.</w:t>
            </w:r>
          </w:p>
          <w:p w:rsidRPr="00491441" w:rsidR="006C5CDB" w:rsidP="4774DFD5" w:rsidRDefault="065606DF" w14:paraId="5B796D78" w14:textId="7E083FE7">
            <w:pPr>
              <w:jc w:val="center"/>
            </w:pPr>
            <w:r>
              <w:rPr>
                <w:noProof/>
              </w:rPr>
              <w:drawing>
                <wp:inline distT="0" distB="0" distL="0" distR="0" wp14:anchorId="42CED54A" wp14:editId="360D0FC1">
                  <wp:extent cx="523931" cy="450397"/>
                  <wp:effectExtent l="0" t="0" r="0" b="0"/>
                  <wp:docPr id="2144788805" name="Picture 21447888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88805" name="Picture 214478880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3931" cy="450397"/>
                          </a:xfrm>
                          <a:prstGeom prst="rect">
                            <a:avLst/>
                          </a:prstGeom>
                        </pic:spPr>
                      </pic:pic>
                    </a:graphicData>
                  </a:graphic>
                </wp:inline>
              </w:drawing>
            </w:r>
          </w:p>
          <w:p w:rsidRPr="00491441" w:rsidR="006C5CDB" w:rsidP="4774DFD5" w:rsidRDefault="006C5CDB" w14:paraId="2DDF35C3" w14:textId="42168185">
            <w:pPr>
              <w:jc w:val="center"/>
            </w:pPr>
            <w:r w:rsidRPr="4774DFD5">
              <w:t>Activating learners with learning resources for one and another</w:t>
            </w:r>
            <w:r w:rsidRPr="4774DFD5" w:rsidR="2623355D">
              <w:t>.</w:t>
            </w:r>
          </w:p>
          <w:p w:rsidRPr="00491441" w:rsidR="006C5CDB" w:rsidP="4774DFD5" w:rsidRDefault="006C5CDB" w14:paraId="63E941A3" w14:textId="77191E7D">
            <w:pPr>
              <w:jc w:val="center"/>
            </w:pPr>
            <w:r w:rsidRPr="4774DFD5">
              <w:t xml:space="preserve">Activating learners as owners of their own learning. </w:t>
            </w:r>
          </w:p>
        </w:tc>
        <w:tc>
          <w:tcPr>
            <w:tcW w:w="2001" w:type="dxa"/>
            <w:shd w:val="clear" w:color="auto" w:fill="E6C7F9"/>
          </w:tcPr>
          <w:p w:rsidR="006C5CDB" w:rsidP="4774DFD5" w:rsidRDefault="582A7FAA" w14:paraId="0687F48B" w14:textId="479219CE">
            <w:pPr>
              <w:pStyle w:val="ListParagraph"/>
              <w:numPr>
                <w:ilvl w:val="0"/>
                <w:numId w:val="7"/>
              </w:numPr>
            </w:pPr>
            <w:r w:rsidRPr="4774DFD5">
              <w:t>Detective activities</w:t>
            </w:r>
            <w:r w:rsidRPr="4774DFD5" w:rsidR="111452F6">
              <w:t xml:space="preserve"> (6f)</w:t>
            </w:r>
          </w:p>
        </w:tc>
        <w:tc>
          <w:tcPr>
            <w:tcW w:w="5382" w:type="dxa"/>
            <w:shd w:val="clear" w:color="auto" w:fill="E6C7F9"/>
          </w:tcPr>
          <w:p w:rsidRPr="005E759C" w:rsidR="006C5CDB" w:rsidP="4774DFD5" w:rsidRDefault="20ACECF2" w14:paraId="1E9BCC61" w14:textId="3EABDAD7">
            <w:pPr>
              <w:jc w:val="both"/>
              <w:rPr>
                <w:i/>
                <w:iCs/>
              </w:rPr>
            </w:pPr>
            <w:r w:rsidRPr="4774DFD5">
              <w:t>M</w:t>
            </w:r>
            <w:r w:rsidRPr="4774DFD5" w:rsidR="582A7FAA">
              <w:t>ake feedback into detective work. For example</w:t>
            </w:r>
            <w:r w:rsidRPr="4774DFD5" w:rsidR="427CBA89">
              <w:t>:</w:t>
            </w:r>
          </w:p>
          <w:p w:rsidRPr="005E759C" w:rsidR="006C5CDB" w:rsidP="4774DFD5" w:rsidRDefault="36BEF361" w14:paraId="3E56ED23" w14:textId="27D0ADAF">
            <w:pPr>
              <w:jc w:val="both"/>
            </w:pPr>
            <w:r w:rsidRPr="4774DFD5">
              <w:t>R</w:t>
            </w:r>
            <w:r w:rsidRPr="4774DFD5" w:rsidR="582A7FAA">
              <w:t xml:space="preserve">ather than saying, “If you swap these two paragraphs around the story would be better”, you </w:t>
            </w:r>
            <w:proofErr w:type="gramStart"/>
            <w:r w:rsidRPr="4774DFD5" w:rsidR="582A7FAA">
              <w:t>would</w:t>
            </w:r>
            <w:proofErr w:type="gramEnd"/>
            <w:r w:rsidRPr="4774DFD5" w:rsidR="582A7FAA">
              <w:t xml:space="preserve"> say, “I think it would be better if two of these paragraphs were reversed. Find out which two you think I’m talking about”.’</w:t>
            </w:r>
            <w:r w:rsidRPr="4774DFD5" w:rsidR="438250CC">
              <w:t xml:space="preserve"> </w:t>
            </w:r>
          </w:p>
          <w:p w:rsidRPr="005E759C" w:rsidR="006C5CDB" w:rsidP="4774DFD5" w:rsidRDefault="6F9BCBFB" w14:paraId="68188F34" w14:textId="229AC4C2">
            <w:pPr>
              <w:jc w:val="both"/>
              <w:rPr>
                <w:i/>
                <w:iCs/>
              </w:rPr>
            </w:pPr>
            <w:r w:rsidRPr="4774DFD5">
              <w:t>P</w:t>
            </w:r>
            <w:r w:rsidRPr="4774DFD5" w:rsidR="582A7FAA">
              <w:t xml:space="preserve">ut dots in the margin where there may be errors and ask pupils to find and correct them (which could be further scaffolded for some students if they replace the dot with codes which identify the type of correction needed, such as ‘e’ for ‘include more evidence’). </w:t>
            </w:r>
          </w:p>
          <w:p w:rsidRPr="005E759C" w:rsidR="006C5CDB" w:rsidP="4774DFD5" w:rsidRDefault="18FDDF84" w14:paraId="28BD224F" w14:textId="35CAEB9F">
            <w:pPr>
              <w:jc w:val="both"/>
              <w:rPr>
                <w:i/>
                <w:iCs/>
              </w:rPr>
            </w:pPr>
            <w:r w:rsidRPr="4774DFD5">
              <w:t>I</w:t>
            </w:r>
            <w:r w:rsidRPr="4774DFD5" w:rsidR="582A7FAA">
              <w:t>nform pupils that a certain number of their responses are correct but not informing them which ones; they then need to figure this out for themselves.</w:t>
            </w:r>
            <w:r w:rsidRPr="4774DFD5" w:rsidR="3966E840">
              <w:t xml:space="preserve"> </w:t>
            </w:r>
            <w:r w:rsidRPr="4774DFD5" w:rsidR="582A7FAA">
              <w:t>These ‘detective’ activities require careful planning to ensure that they are tailored to pupils’ level of understanding.</w:t>
            </w:r>
          </w:p>
        </w:tc>
        <w:tc>
          <w:tcPr>
            <w:tcW w:w="2729" w:type="dxa"/>
            <w:shd w:val="clear" w:color="auto" w:fill="E6C7F9"/>
          </w:tcPr>
          <w:p w:rsidRPr="00625E57" w:rsidR="006C5CDB" w:rsidP="4774DFD5" w:rsidRDefault="18C4FC98" w14:paraId="448B5B10" w14:textId="316E91A6">
            <w:pPr>
              <w:jc w:val="center"/>
              <w:rPr>
                <w:rFonts w:ascii="Calibri" w:hAnsi="Calibri" w:eastAsia="Calibri" w:cs="Calibri"/>
                <w:color w:val="000000" w:themeColor="text1"/>
              </w:rPr>
            </w:pPr>
            <w:r w:rsidRPr="4774DFD5">
              <w:rPr>
                <w:rFonts w:ascii="Calibri" w:hAnsi="Calibri" w:eastAsia="Calibri" w:cs="Calibri"/>
                <w:color w:val="000000" w:themeColor="text1"/>
              </w:rPr>
              <w:t>Education Endowment Foundation (2021) Teacher Feedback to Improve Pupil Learning Guidance Report</w:t>
            </w:r>
          </w:p>
          <w:p w:rsidRPr="00625E57" w:rsidR="006C5CDB" w:rsidP="4774DFD5" w:rsidRDefault="006C5CDB" w14:paraId="7AD9F1CF" w14:textId="7935EAEE">
            <w:pPr>
              <w:jc w:val="center"/>
            </w:pPr>
          </w:p>
        </w:tc>
        <w:tc>
          <w:tcPr>
            <w:tcW w:w="3135" w:type="dxa"/>
            <w:shd w:val="clear" w:color="auto" w:fill="E6C7F9"/>
          </w:tcPr>
          <w:p w:rsidRPr="00005689" w:rsidR="006C5CDB" w:rsidP="4774DFD5" w:rsidRDefault="00CC59C2" w14:paraId="161E8C7C" w14:textId="3A695F9F">
            <w:pPr>
              <w:rPr>
                <w:rFonts w:ascii="Calibri" w:hAnsi="Calibri" w:eastAsia="Calibri" w:cs="Calibri"/>
              </w:rPr>
            </w:pPr>
            <w:r w:rsidRPr="4774DFD5">
              <w:t>Wiliam, D. (2017) Assessment, marking and feedback. In Hendrick, C. and McPherson, R. (Eds.) What Does This Look Like in the Classroom? Bridging the gap between research and practice. Woodbridge: John Catt.</w:t>
            </w:r>
          </w:p>
        </w:tc>
      </w:tr>
      <w:tr w:rsidR="006C5CDB" w:rsidTr="00175A39" w14:paraId="4857F77F" w14:textId="77777777">
        <w:trPr>
          <w:trHeight w:val="2100"/>
        </w:trPr>
        <w:tc>
          <w:tcPr>
            <w:tcW w:w="2772" w:type="dxa"/>
            <w:vMerge/>
          </w:tcPr>
          <w:p w:rsidRPr="009C7511" w:rsidR="006C5CDB" w:rsidP="004352FF" w:rsidRDefault="006C5CDB" w14:paraId="0209647B" w14:textId="77777777">
            <w:pPr>
              <w:jc w:val="center"/>
              <w:rPr>
                <w:b/>
                <w:bCs/>
                <w:u w:val="single"/>
              </w:rPr>
            </w:pPr>
          </w:p>
        </w:tc>
        <w:tc>
          <w:tcPr>
            <w:tcW w:w="2001" w:type="dxa"/>
            <w:shd w:val="clear" w:color="auto" w:fill="E6C7F9"/>
          </w:tcPr>
          <w:p w:rsidR="006C5CDB" w:rsidP="4774DFD5" w:rsidRDefault="582A7FAA" w14:paraId="3D6075FE" w14:textId="0AD647AF">
            <w:pPr>
              <w:pStyle w:val="ListParagraph"/>
              <w:numPr>
                <w:ilvl w:val="0"/>
                <w:numId w:val="7"/>
              </w:numPr>
            </w:pPr>
            <w:r w:rsidRPr="4774DFD5">
              <w:t>Class discussion activities</w:t>
            </w:r>
            <w:r w:rsidRPr="4774DFD5" w:rsidR="60634611">
              <w:t xml:space="preserve"> (6o)</w:t>
            </w:r>
          </w:p>
        </w:tc>
        <w:tc>
          <w:tcPr>
            <w:tcW w:w="5382" w:type="dxa"/>
            <w:shd w:val="clear" w:color="auto" w:fill="E6C7F9"/>
          </w:tcPr>
          <w:p w:rsidRPr="00D70C5A" w:rsidR="006C5CDB" w:rsidP="4774DFD5" w:rsidRDefault="3D868E35" w14:paraId="389B5CDC" w14:textId="14029BEB">
            <w:r w:rsidRPr="4774DFD5">
              <w:t>Providing opportunities for the class to collectively discuss the feedback provided may improve pupil use of feedback and their subsequent attainment.</w:t>
            </w:r>
            <w:r w:rsidRPr="4774DFD5" w:rsidR="4A5AAFBE">
              <w:t xml:space="preserve"> </w:t>
            </w:r>
            <w:r w:rsidRPr="4774DFD5">
              <w:t>Teachers could, therefore, use a class discussion to explore, explain, and clarify feedback before pupils use it in their next activity</w:t>
            </w:r>
          </w:p>
        </w:tc>
        <w:tc>
          <w:tcPr>
            <w:tcW w:w="2729" w:type="dxa"/>
            <w:shd w:val="clear" w:color="auto" w:fill="E6C7F9"/>
          </w:tcPr>
          <w:p w:rsidRPr="0086181F" w:rsidR="00A877BF" w:rsidP="4774DFD5" w:rsidRDefault="00A877BF" w14:paraId="75C5BE7B" w14:textId="77777777">
            <w:pPr>
              <w:jc w:val="center"/>
              <w:rPr>
                <w:rFonts w:ascii="Calibri" w:hAnsi="Calibri" w:eastAsia="Calibri" w:cs="Calibri"/>
                <w:color w:val="000000" w:themeColor="text1"/>
              </w:rPr>
            </w:pPr>
            <w:r w:rsidRPr="4774DFD5">
              <w:rPr>
                <w:rFonts w:ascii="Calibri" w:hAnsi="Calibri" w:eastAsia="Calibri" w:cs="Calibri"/>
                <w:color w:val="000000" w:themeColor="text1"/>
              </w:rPr>
              <w:t>Education Endowment Foundation (2021) Teacher Feedback to Improve Pupil Learning Guidance Report</w:t>
            </w:r>
          </w:p>
          <w:p w:rsidRPr="0086181F" w:rsidR="006C5CDB" w:rsidP="4774DFD5" w:rsidRDefault="006C5CDB" w14:paraId="3B4640D5" w14:textId="77777777">
            <w:pPr>
              <w:jc w:val="center"/>
            </w:pPr>
          </w:p>
        </w:tc>
        <w:tc>
          <w:tcPr>
            <w:tcW w:w="3135" w:type="dxa"/>
            <w:shd w:val="clear" w:color="auto" w:fill="E6C7F9"/>
          </w:tcPr>
          <w:p w:rsidRPr="00005689" w:rsidR="006C5CDB" w:rsidP="4774DFD5" w:rsidRDefault="00A429C8" w14:paraId="11320E36" w14:textId="624EFDF3">
            <w:proofErr w:type="spellStart"/>
            <w:r w:rsidRPr="4774DFD5">
              <w:t>Ajogbeje</w:t>
            </w:r>
            <w:proofErr w:type="spellEnd"/>
            <w:r w:rsidRPr="4774DFD5">
              <w:t xml:space="preserve"> OJ, and Alonge MF. (2012). Effect of Feedback and Remediation on Students’ Achievement in Junior Secondary School Mathematics International Education Studies, 5(5), pp.153–162. p.160. This study was rated by M Newman et al 2021 (in press) to have a serious risk of bias</w:t>
            </w:r>
          </w:p>
        </w:tc>
      </w:tr>
      <w:tr w:rsidR="006C5CDB" w:rsidTr="00175A39" w14:paraId="5AF1BF6C" w14:textId="77777777">
        <w:tc>
          <w:tcPr>
            <w:tcW w:w="2772" w:type="dxa"/>
            <w:vMerge/>
          </w:tcPr>
          <w:p w:rsidRPr="009C7511" w:rsidR="006C5CDB" w:rsidP="004352FF" w:rsidRDefault="006C5CDB" w14:paraId="61CB6447" w14:textId="77777777">
            <w:pPr>
              <w:jc w:val="center"/>
              <w:rPr>
                <w:b/>
                <w:bCs/>
                <w:u w:val="single"/>
              </w:rPr>
            </w:pPr>
          </w:p>
        </w:tc>
        <w:tc>
          <w:tcPr>
            <w:tcW w:w="2001" w:type="dxa"/>
            <w:shd w:val="clear" w:color="auto" w:fill="E6C7F9"/>
          </w:tcPr>
          <w:p w:rsidR="006C5CDB" w:rsidP="4774DFD5" w:rsidRDefault="582A7FAA" w14:paraId="52D2F1B3" w14:textId="4717A357">
            <w:pPr>
              <w:pStyle w:val="ListParagraph"/>
              <w:numPr>
                <w:ilvl w:val="0"/>
                <w:numId w:val="7"/>
              </w:numPr>
            </w:pPr>
            <w:r w:rsidRPr="4774DFD5">
              <w:t xml:space="preserve">Three questions </w:t>
            </w:r>
            <w:r w:rsidRPr="4774DFD5" w:rsidR="49F768A6">
              <w:t>(6g)</w:t>
            </w:r>
          </w:p>
        </w:tc>
        <w:tc>
          <w:tcPr>
            <w:tcW w:w="5382" w:type="dxa"/>
            <w:shd w:val="clear" w:color="auto" w:fill="E6C7F9"/>
          </w:tcPr>
          <w:p w:rsidR="006C5CDB" w:rsidP="4774DFD5" w:rsidRDefault="1DCAAE3B" w14:paraId="018F4E2D" w14:textId="64D36C72">
            <w:pPr>
              <w:rPr>
                <w:rFonts w:eastAsiaTheme="minorEastAsia"/>
                <w:color w:val="555555"/>
              </w:rPr>
            </w:pPr>
            <w:r w:rsidRPr="4774DFD5">
              <w:rPr>
                <w:rFonts w:eastAsiaTheme="minorEastAsia"/>
              </w:rPr>
              <w:t>T</w:t>
            </w:r>
            <w:r w:rsidRPr="4774DFD5" w:rsidR="4F353B09">
              <w:rPr>
                <w:rFonts w:eastAsiaTheme="minorEastAsia"/>
              </w:rPr>
              <w:t>he teacher reads each student’s work plac</w:t>
            </w:r>
            <w:r w:rsidRPr="4774DFD5" w:rsidR="05F8BC12">
              <w:rPr>
                <w:rFonts w:eastAsiaTheme="minorEastAsia"/>
              </w:rPr>
              <w:t>ing</w:t>
            </w:r>
            <w:r w:rsidRPr="4774DFD5" w:rsidR="4F353B09">
              <w:rPr>
                <w:rFonts w:eastAsiaTheme="minorEastAsia"/>
              </w:rPr>
              <w:t xml:space="preserve"> a numbered circle at </w:t>
            </w:r>
            <w:r w:rsidRPr="4774DFD5" w:rsidR="641A5079">
              <w:rPr>
                <w:rFonts w:eastAsiaTheme="minorEastAsia"/>
              </w:rPr>
              <w:t>a key</w:t>
            </w:r>
            <w:r w:rsidRPr="4774DFD5" w:rsidR="4F353B09">
              <w:rPr>
                <w:rFonts w:eastAsiaTheme="minorEastAsia"/>
              </w:rPr>
              <w:t xml:space="preserve"> point in the text. Underneath the </w:t>
            </w:r>
            <w:r w:rsidRPr="4774DFD5" w:rsidR="2469707C">
              <w:rPr>
                <w:rFonts w:eastAsiaTheme="minorEastAsia"/>
              </w:rPr>
              <w:t>pupil</w:t>
            </w:r>
            <w:r w:rsidRPr="4774DFD5" w:rsidR="4F353B09">
              <w:rPr>
                <w:rFonts w:eastAsiaTheme="minorEastAsia"/>
              </w:rPr>
              <w:t xml:space="preserve">’s work, the teacher writes three questions, each one relating to the relevant numbered circles, and leaves space for the </w:t>
            </w:r>
            <w:r w:rsidRPr="4774DFD5" w:rsidR="0F3A8FC3">
              <w:rPr>
                <w:rFonts w:eastAsiaTheme="minorEastAsia"/>
              </w:rPr>
              <w:t>pupil</w:t>
            </w:r>
            <w:r w:rsidRPr="4774DFD5" w:rsidR="4F353B09">
              <w:rPr>
                <w:rFonts w:eastAsiaTheme="minorEastAsia"/>
              </w:rPr>
              <w:t>’s response. The student respond</w:t>
            </w:r>
            <w:r w:rsidRPr="4774DFD5" w:rsidR="4F5BBDC5">
              <w:rPr>
                <w:rFonts w:eastAsiaTheme="minorEastAsia"/>
              </w:rPr>
              <w:t>s</w:t>
            </w:r>
            <w:r w:rsidRPr="4774DFD5" w:rsidR="4F353B09">
              <w:rPr>
                <w:rFonts w:eastAsiaTheme="minorEastAsia"/>
              </w:rPr>
              <w:t xml:space="preserve"> to the three questions the teacher posed. The important feature of this technique is that no matter how bad or good the student’s work is, everyone has the same amount of work to do</w:t>
            </w:r>
            <w:r w:rsidRPr="4774DFD5" w:rsidR="4F353B09">
              <w:rPr>
                <w:rFonts w:eastAsiaTheme="minorEastAsia"/>
                <w:color w:val="555555"/>
              </w:rPr>
              <w:t xml:space="preserve">. </w:t>
            </w:r>
          </w:p>
        </w:tc>
        <w:tc>
          <w:tcPr>
            <w:tcW w:w="2729" w:type="dxa"/>
            <w:shd w:val="clear" w:color="auto" w:fill="E6C7F9"/>
          </w:tcPr>
          <w:p w:rsidRPr="0086181F" w:rsidR="006C5CDB" w:rsidP="4774DFD5" w:rsidRDefault="4F353B09" w14:paraId="2EF47F27" w14:textId="316E91A6">
            <w:pPr>
              <w:jc w:val="center"/>
              <w:rPr>
                <w:rFonts w:ascii="Calibri" w:hAnsi="Calibri" w:eastAsia="Calibri" w:cs="Calibri"/>
                <w:color w:val="000000" w:themeColor="text1"/>
              </w:rPr>
            </w:pPr>
            <w:r w:rsidRPr="4774DFD5">
              <w:rPr>
                <w:rFonts w:ascii="Calibri" w:hAnsi="Calibri" w:eastAsia="Calibri" w:cs="Calibri"/>
                <w:color w:val="000000" w:themeColor="text1"/>
              </w:rPr>
              <w:t>Education Endowment Foundation (2021) Teacher Feedback to Improve Pupil Learning Guidance Report</w:t>
            </w:r>
          </w:p>
          <w:p w:rsidRPr="0086181F" w:rsidR="006C5CDB" w:rsidP="4774DFD5" w:rsidRDefault="006C5CDB" w14:paraId="71B6C845" w14:textId="61846617">
            <w:pPr>
              <w:jc w:val="center"/>
            </w:pPr>
          </w:p>
        </w:tc>
        <w:tc>
          <w:tcPr>
            <w:tcW w:w="3135" w:type="dxa"/>
            <w:shd w:val="clear" w:color="auto" w:fill="E6C7F9"/>
          </w:tcPr>
          <w:p w:rsidRPr="00005689" w:rsidR="006C5CDB" w:rsidP="4774DFD5" w:rsidRDefault="277ECB48" w14:paraId="5222D277" w14:textId="7FB86B21">
            <w:pPr>
              <w:rPr>
                <w:rFonts w:ascii="Calibri" w:hAnsi="Calibri" w:eastAsia="Calibri" w:cs="Calibri"/>
              </w:rPr>
            </w:pPr>
            <w:r w:rsidRPr="4774DFD5">
              <w:rPr>
                <w:rFonts w:ascii="Calibri" w:hAnsi="Calibri" w:eastAsia="Calibri" w:cs="Calibri"/>
              </w:rPr>
              <w:t>Wiliam, D (2018), Embedded Formative Assessment (Second Edition), Solution Tree Press, Chapter 5.</w:t>
            </w:r>
          </w:p>
          <w:p w:rsidRPr="00005689" w:rsidR="006C5CDB" w:rsidP="4774DFD5" w:rsidRDefault="006C5CDB" w14:paraId="0C2DFA8E" w14:textId="0E7EA2AB"/>
        </w:tc>
      </w:tr>
      <w:tr w:rsidR="00ED6D47" w:rsidTr="00175A39" w14:paraId="7A17DD3B" w14:textId="77777777">
        <w:tc>
          <w:tcPr>
            <w:tcW w:w="2772" w:type="dxa"/>
            <w:shd w:val="clear" w:color="auto" w:fill="DFB6F8"/>
          </w:tcPr>
          <w:p w:rsidR="4FD9E660" w:rsidP="4774DFD5" w:rsidRDefault="4FD9E660" w14:paraId="42477BC8" w14:textId="12157057">
            <w:pPr>
              <w:jc w:val="center"/>
            </w:pPr>
            <w:r w:rsidRPr="4774DFD5">
              <w:rPr>
                <w:b/>
                <w:bCs/>
              </w:rPr>
              <w:t xml:space="preserve">Opportunity cost – </w:t>
            </w:r>
            <w:r w:rsidRPr="4774DFD5">
              <w:t>assessment and the smart use of time.</w:t>
            </w:r>
          </w:p>
          <w:p w:rsidR="4774DFD5" w:rsidP="4774DFD5" w:rsidRDefault="00816546" w14:paraId="715E94D8" w14:textId="3568E46E">
            <w:pPr>
              <w:jc w:val="center"/>
            </w:pPr>
            <w:r>
              <w:rPr>
                <w:noProof/>
              </w:rPr>
              <w:drawing>
                <wp:inline distT="0" distB="0" distL="0" distR="0" wp14:anchorId="12DC1412" wp14:editId="2E223C2D">
                  <wp:extent cx="499745" cy="475615"/>
                  <wp:effectExtent l="0" t="0" r="0" b="635"/>
                  <wp:docPr id="15983630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63036"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745" cy="475615"/>
                          </a:xfrm>
                          <a:prstGeom prst="rect">
                            <a:avLst/>
                          </a:prstGeom>
                          <a:noFill/>
                        </pic:spPr>
                      </pic:pic>
                    </a:graphicData>
                  </a:graphic>
                </wp:inline>
              </w:drawing>
            </w:r>
          </w:p>
        </w:tc>
        <w:tc>
          <w:tcPr>
            <w:tcW w:w="2001" w:type="dxa"/>
            <w:shd w:val="clear" w:color="auto" w:fill="DFB6F8"/>
          </w:tcPr>
          <w:p w:rsidR="00ED6D47" w:rsidP="4774DFD5" w:rsidRDefault="2B121C44" w14:paraId="3B1A2A18" w14:textId="5996FE4A">
            <w:pPr>
              <w:pStyle w:val="ListParagraph"/>
              <w:numPr>
                <w:ilvl w:val="0"/>
                <w:numId w:val="7"/>
              </w:numPr>
            </w:pPr>
            <w:r w:rsidRPr="4774DFD5">
              <w:t xml:space="preserve">Live marking </w:t>
            </w:r>
            <w:r w:rsidRPr="4774DFD5" w:rsidR="65077070">
              <w:t>- pen in hand</w:t>
            </w:r>
            <w:r w:rsidRPr="4774DFD5" w:rsidR="135CB22E">
              <w:t xml:space="preserve"> (6h)</w:t>
            </w:r>
            <w:r w:rsidRPr="4774DFD5" w:rsidR="6F1D4A76">
              <w:t xml:space="preserve"> (6q)</w:t>
            </w:r>
          </w:p>
        </w:tc>
        <w:tc>
          <w:tcPr>
            <w:tcW w:w="5382" w:type="dxa"/>
            <w:shd w:val="clear" w:color="auto" w:fill="DFB6F8"/>
          </w:tcPr>
          <w:p w:rsidRPr="00ED25D0" w:rsidR="00ED6D47" w:rsidP="4774DFD5" w:rsidRDefault="6F37A1B9" w14:paraId="75CD9DED" w14:textId="5CF7A632">
            <w:pPr>
              <w:spacing w:line="259" w:lineRule="auto"/>
            </w:pPr>
            <w:r w:rsidRPr="42DEAC55">
              <w:t>Mark up</w:t>
            </w:r>
            <w:r w:rsidRPr="42DEAC55" w:rsidR="378F5BB0">
              <w:t xml:space="preserve"> work as you circulate. </w:t>
            </w:r>
            <w:r w:rsidRPr="42DEAC55" w:rsidR="35C7FF1A">
              <w:t xml:space="preserve">Use a coding system to affirm answers. Cue the </w:t>
            </w:r>
            <w:r w:rsidRPr="42DEAC55" w:rsidR="00303DB8">
              <w:t>student</w:t>
            </w:r>
            <w:r w:rsidRPr="42DEAC55" w:rsidR="35C7FF1A">
              <w:t xml:space="preserve"> to revise answers using minimal verbal </w:t>
            </w:r>
            <w:r w:rsidRPr="42DEAC55" w:rsidR="3531DF2B">
              <w:t>intervention</w:t>
            </w:r>
            <w:r w:rsidRPr="42DEAC55" w:rsidR="35C7FF1A">
              <w:t xml:space="preserve"> </w:t>
            </w:r>
            <w:r w:rsidRPr="42DEAC55" w:rsidR="583CCF85">
              <w:t>(Name the error, ask them to fix it, tell them you’ll follow up)</w:t>
            </w:r>
            <w:r w:rsidRPr="42DEAC55" w:rsidR="1E228594">
              <w:t xml:space="preserve"> OR identify, keep it brief, explain, </w:t>
            </w:r>
            <w:r w:rsidRPr="42DEAC55" w:rsidR="00303DB8">
              <w:t>follow</w:t>
            </w:r>
            <w:r w:rsidRPr="42DEAC55" w:rsidR="1E228594">
              <w:t>-up</w:t>
            </w:r>
            <w:r w:rsidRPr="42DEAC55" w:rsidR="654E5239">
              <w:t xml:space="preserve">. Know the codes, teach the codes and be selective – too many codes </w:t>
            </w:r>
            <w:r w:rsidRPr="42DEAC55" w:rsidR="3EF1FA0C">
              <w:t>reduce</w:t>
            </w:r>
            <w:r w:rsidRPr="42DEAC55" w:rsidR="654E5239">
              <w:t xml:space="preserve"> the impact.</w:t>
            </w:r>
          </w:p>
        </w:tc>
        <w:tc>
          <w:tcPr>
            <w:tcW w:w="2729" w:type="dxa"/>
            <w:shd w:val="clear" w:color="auto" w:fill="DFB6F8"/>
          </w:tcPr>
          <w:p w:rsidRPr="0086181F" w:rsidR="00ED6D47" w:rsidP="4774DFD5" w:rsidRDefault="583CCF85" w14:paraId="0481A005" w14:textId="703BB0CC">
            <w:pPr>
              <w:jc w:val="center"/>
            </w:pPr>
            <w:r w:rsidRPr="4774DFD5">
              <w:t xml:space="preserve">Get Better Faster – page </w:t>
            </w:r>
          </w:p>
          <w:p w:rsidRPr="0086181F" w:rsidR="00ED6D47" w:rsidP="4774DFD5" w:rsidRDefault="768993B1" w14:paraId="14A32416" w14:textId="7D01FE0E">
            <w:pPr>
              <w:jc w:val="center"/>
            </w:pPr>
            <w:r w:rsidRPr="4774DFD5">
              <w:t xml:space="preserve">The Teaching and Learning Playbook </w:t>
            </w:r>
          </w:p>
          <w:p w:rsidRPr="0086181F" w:rsidR="00ED6D47" w:rsidP="4774DFD5" w:rsidRDefault="00ED6D47" w14:paraId="024323F0" w14:textId="0DD08B9A">
            <w:pPr>
              <w:jc w:val="center"/>
            </w:pPr>
          </w:p>
          <w:p w:rsidRPr="0086181F" w:rsidR="00ED6D47" w:rsidP="4774DFD5" w:rsidRDefault="5D948BAA" w14:paraId="4F2DB6C9" w14:textId="199D6E91">
            <w:pPr>
              <w:jc w:val="center"/>
            </w:pPr>
            <w:r w:rsidRPr="4774DFD5">
              <w:t>The Teaching and Learning Playbook page 149</w:t>
            </w:r>
          </w:p>
          <w:p w:rsidRPr="0086181F" w:rsidR="00ED6D47" w:rsidP="4774DFD5" w:rsidRDefault="00ED6D47" w14:paraId="6C308AAD" w14:textId="7E3F0611">
            <w:pPr>
              <w:jc w:val="center"/>
            </w:pPr>
          </w:p>
        </w:tc>
        <w:tc>
          <w:tcPr>
            <w:tcW w:w="3135" w:type="dxa"/>
            <w:shd w:val="clear" w:color="auto" w:fill="DFB6F8"/>
          </w:tcPr>
          <w:p w:rsidRPr="00005689" w:rsidR="00ED6D47" w:rsidP="4774DFD5" w:rsidRDefault="5D948BAA" w14:paraId="1559F55F" w14:textId="77777777">
            <w:pPr>
              <w:jc w:val="center"/>
              <w:rPr>
                <w:rFonts w:ascii="Calibri" w:hAnsi="Calibri" w:eastAsia="Calibri" w:cs="Calibri"/>
                <w:color w:val="000000" w:themeColor="text1"/>
              </w:rPr>
            </w:pPr>
            <w:r w:rsidRPr="4774DFD5">
              <w:rPr>
                <w:rFonts w:ascii="Calibri" w:hAnsi="Calibri" w:eastAsia="Calibri" w:cs="Calibri"/>
                <w:color w:val="000000" w:themeColor="text1"/>
              </w:rPr>
              <w:t>Education Endowment Foundation (2021) Teacher Feedback to Improve Pupil Learning Guidance Report</w:t>
            </w:r>
          </w:p>
          <w:p w:rsidRPr="00005689" w:rsidR="00ED6D47" w:rsidP="4774DFD5" w:rsidRDefault="00ED6D47" w14:paraId="1D44F92C" w14:textId="43042BC0"/>
        </w:tc>
      </w:tr>
    </w:tbl>
    <w:p w:rsidRPr="005F7DBC" w:rsidR="58155664" w:rsidP="2CDCED00" w:rsidRDefault="00EF41BE" w14:paraId="553F8AEA" w14:textId="065B4CDF">
      <w:pPr>
        <w:rPr>
          <w:rFonts w:ascii="Calibri" w:hAnsi="Calibri" w:eastAsia="Times New Roman" w:cs="Calibri"/>
          <w:b/>
          <w:bCs/>
          <w:kern w:val="0"/>
          <w:lang w:eastAsia="en-GB"/>
          <w14:ligatures w14:val="none"/>
        </w:rPr>
      </w:pPr>
      <w:r w:rsidRPr="00EF41BE">
        <w:rPr>
          <w:rStyle w:val="normaltextrun"/>
          <w:rFonts w:ascii="Calibri" w:hAnsi="Calibri" w:eastAsia="Times New Roman" w:cs="Calibri"/>
          <w:b/>
          <w:bCs/>
          <w:kern w:val="0"/>
          <w:lang w:eastAsia="en-GB"/>
          <w14:ligatures w14:val="none"/>
        </w:rPr>
        <w:t>Reading list available on Blackboard.</w:t>
      </w:r>
    </w:p>
    <w:p w:rsidRPr="009E0C3F" w:rsidR="1CDDFF59" w:rsidP="2CDCED00" w:rsidRDefault="1CDDFF59" w14:paraId="7C79B755" w14:textId="5EEAF34E">
      <w:pPr>
        <w:rPr>
          <w:b/>
          <w:bCs/>
        </w:rPr>
      </w:pPr>
      <w:r w:rsidRPr="009E0C3F">
        <w:rPr>
          <w:b/>
          <w:bCs/>
        </w:rPr>
        <w:t>Coaching questions</w:t>
      </w:r>
      <w:r w:rsidRPr="009E0C3F" w:rsidR="009E0C3F">
        <w:rPr>
          <w:b/>
          <w:bCs/>
        </w:rPr>
        <w:t xml:space="preserve"> for the placement mentor to help identify the key strategies.</w:t>
      </w:r>
    </w:p>
    <w:p w:rsidRPr="002A25BE" w:rsidR="1CDDFF59" w:rsidP="002A25BE" w:rsidRDefault="1CDDFF59" w14:paraId="0D1E7EB7" w14:textId="3103910B">
      <w:pPr>
        <w:pStyle w:val="ListParagraph"/>
        <w:numPr>
          <w:ilvl w:val="0"/>
          <w:numId w:val="12"/>
        </w:numPr>
      </w:pPr>
      <w:r w:rsidRPr="002A25BE">
        <w:t>Did the pupils have a strong enough understanding of the knowledge, skills and concepts to begin with, before feedback was gi</w:t>
      </w:r>
      <w:r w:rsidRPr="002A25BE" w:rsidR="2F92B6AB">
        <w:t>ven</w:t>
      </w:r>
      <w:r w:rsidRPr="002A25BE" w:rsidR="7D231A23">
        <w:t>?</w:t>
      </w:r>
      <w:r w:rsidRPr="002A25BE" w:rsidR="2F92B6AB">
        <w:t xml:space="preserve"> (foundation)</w:t>
      </w:r>
    </w:p>
    <w:p w:rsidRPr="002A25BE" w:rsidR="2F92B6AB" w:rsidP="002A25BE" w:rsidRDefault="2F92B6AB" w14:paraId="3D0D3485" w14:textId="14057126">
      <w:pPr>
        <w:pStyle w:val="ListParagraph"/>
        <w:numPr>
          <w:ilvl w:val="0"/>
          <w:numId w:val="12"/>
        </w:numPr>
      </w:pPr>
      <w:r w:rsidRPr="002A25BE">
        <w:t xml:space="preserve">Did I effectively assess my pupils’ understanding to target my feedback at their specific learning gaps?  (foundation) </w:t>
      </w:r>
    </w:p>
    <w:p w:rsidRPr="002A25BE" w:rsidR="31DF2C80" w:rsidP="002A25BE" w:rsidRDefault="31DF2C80" w14:paraId="271C7738" w14:textId="20DE5C0C">
      <w:pPr>
        <w:pStyle w:val="ListParagraph"/>
        <w:numPr>
          <w:ilvl w:val="0"/>
          <w:numId w:val="12"/>
        </w:numPr>
      </w:pPr>
      <w:r w:rsidRPr="002A25BE">
        <w:t>When exactly should I be providing feedback to pupils? (timed and specific)</w:t>
      </w:r>
    </w:p>
    <w:p w:rsidRPr="002A25BE" w:rsidR="31DF2C80" w:rsidP="002A25BE" w:rsidRDefault="31DF2C80" w14:paraId="0F60FCB8" w14:textId="2B652F01">
      <w:pPr>
        <w:pStyle w:val="ListParagraph"/>
        <w:numPr>
          <w:ilvl w:val="0"/>
          <w:numId w:val="12"/>
        </w:numPr>
      </w:pPr>
      <w:r w:rsidRPr="002A25BE">
        <w:t xml:space="preserve">What should my feedback </w:t>
      </w:r>
      <w:r w:rsidRPr="002A25BE" w:rsidR="2490A21B">
        <w:t>focus</w:t>
      </w:r>
      <w:r w:rsidRPr="002A25BE">
        <w:t xml:space="preserve"> on? (timed and specific)</w:t>
      </w:r>
    </w:p>
    <w:p w:rsidRPr="002A25BE" w:rsidR="0AB80DD5" w:rsidP="002A25BE" w:rsidRDefault="0AB80DD5" w14:paraId="1345D018" w14:textId="0876E16B">
      <w:pPr>
        <w:pStyle w:val="ListParagraph"/>
        <w:numPr>
          <w:ilvl w:val="0"/>
          <w:numId w:val="12"/>
        </w:numPr>
      </w:pPr>
      <w:r w:rsidRPr="002A25BE">
        <w:t>How can I ensure I provide feedback whilst considering the pupil’s response?</w:t>
      </w:r>
    </w:p>
    <w:p w:rsidRPr="002A25BE" w:rsidR="0AB80DD5" w:rsidP="002A25BE" w:rsidRDefault="0AB80DD5" w14:paraId="15FBC622" w14:textId="270B69E2">
      <w:pPr>
        <w:pStyle w:val="ListParagraph"/>
        <w:numPr>
          <w:ilvl w:val="0"/>
          <w:numId w:val="12"/>
        </w:numPr>
      </w:pPr>
      <w:r w:rsidRPr="002A25BE">
        <w:t xml:space="preserve">How can I ensure that Amelia has the time and opportunity to use the feedback offered? </w:t>
      </w:r>
    </w:p>
    <w:p w:rsidRPr="002A25BE" w:rsidR="5D949307" w:rsidP="002A25BE" w:rsidRDefault="5D949307" w14:paraId="756242D7" w14:textId="1F8519CE">
      <w:pPr>
        <w:pStyle w:val="ListParagraph"/>
        <w:numPr>
          <w:ilvl w:val="0"/>
          <w:numId w:val="12"/>
        </w:numPr>
      </w:pPr>
      <w:r w:rsidRPr="002A25BE">
        <w:t>How can I offer purposeful written feedback? (opportunity cost)</w:t>
      </w:r>
    </w:p>
    <w:p w:rsidRPr="002A25BE" w:rsidR="5D949307" w:rsidP="002A25BE" w:rsidRDefault="5D949307" w14:paraId="6D46AE65" w14:textId="137AC9B8">
      <w:pPr>
        <w:pStyle w:val="ListParagraph"/>
        <w:numPr>
          <w:ilvl w:val="0"/>
          <w:numId w:val="12"/>
        </w:numPr>
      </w:pPr>
      <w:r w:rsidRPr="002A25BE">
        <w:t xml:space="preserve">What alternative approaches – such as live marking or marking codes </w:t>
      </w:r>
      <w:r w:rsidRPr="002A25BE" w:rsidR="00845244">
        <w:t>could</w:t>
      </w:r>
      <w:r w:rsidRPr="002A25BE">
        <w:t xml:space="preserve"> be more efficient? (opportunity cost?)</w:t>
      </w:r>
    </w:p>
    <w:p w:rsidRPr="002A25BE" w:rsidR="2537C888" w:rsidP="002A25BE" w:rsidRDefault="2537C888" w14:paraId="7DBEE72B" w14:textId="331EAFC4">
      <w:pPr>
        <w:pStyle w:val="ListParagraph"/>
        <w:numPr>
          <w:ilvl w:val="0"/>
          <w:numId w:val="12"/>
        </w:numPr>
      </w:pPr>
      <w:r w:rsidRPr="002A25BE">
        <w:t>Is my whole-class feedback moving learning forward?</w:t>
      </w:r>
      <w:r w:rsidRPr="002A25BE" w:rsidR="06E1BDF2">
        <w:t xml:space="preserve"> (foundations) </w:t>
      </w:r>
    </w:p>
    <w:p w:rsidRPr="002A25BE" w:rsidR="2537C888" w:rsidP="002A25BE" w:rsidRDefault="2537C888" w14:paraId="73B9E4BC" w14:textId="49FAD644">
      <w:pPr>
        <w:pStyle w:val="ListParagraph"/>
        <w:numPr>
          <w:ilvl w:val="0"/>
          <w:numId w:val="12"/>
        </w:numPr>
      </w:pPr>
      <w:r w:rsidRPr="002A25BE">
        <w:t xml:space="preserve">How could I improve my whole-class feedback to have a better chance of my pupils making progress? </w:t>
      </w:r>
      <w:r w:rsidRPr="002A25BE" w:rsidR="5596F981">
        <w:t xml:space="preserve">(foundations) </w:t>
      </w:r>
    </w:p>
    <w:p w:rsidRPr="002A25BE" w:rsidR="04B82013" w:rsidP="04B82013" w:rsidRDefault="04B82013" w14:paraId="633B2C4F" w14:textId="380E904E"/>
    <w:sectPr w:rsidRPr="002A25BE" w:rsidR="04B82013" w:rsidSect="001D3E9D">
      <w:pgSz w:w="16838" w:h="11906" w:orient="landscape" w:code="9"/>
      <w:pgMar w:top="14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567F0" w14:textId="77777777" w:rsidR="00A24B4E" w:rsidRDefault="00A24B4E" w:rsidP="00596173">
      <w:pPr>
        <w:spacing w:after="0" w:line="240" w:lineRule="auto"/>
      </w:pPr>
      <w:r>
        <w:separator/>
      </w:r>
    </w:p>
  </w:endnote>
  <w:endnote w:type="continuationSeparator" w:id="0">
    <w:p w14:paraId="3CA6DE0F" w14:textId="77777777" w:rsidR="00A24B4E" w:rsidRDefault="00A24B4E" w:rsidP="00596173">
      <w:pPr>
        <w:spacing w:after="0" w:line="240" w:lineRule="auto"/>
      </w:pPr>
      <w:r>
        <w:continuationSeparator/>
      </w:r>
    </w:p>
  </w:endnote>
  <w:endnote w:type="continuationNotice" w:id="1">
    <w:p w14:paraId="1F9352CD" w14:textId="77777777" w:rsidR="00A24B4E" w:rsidRDefault="00A24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53C7A" w14:textId="77777777" w:rsidR="00A24B4E" w:rsidRDefault="00A24B4E" w:rsidP="00596173">
      <w:pPr>
        <w:spacing w:after="0" w:line="240" w:lineRule="auto"/>
      </w:pPr>
      <w:r>
        <w:separator/>
      </w:r>
    </w:p>
  </w:footnote>
  <w:footnote w:type="continuationSeparator" w:id="0">
    <w:p w14:paraId="2F0AF33C" w14:textId="77777777" w:rsidR="00A24B4E" w:rsidRDefault="00A24B4E" w:rsidP="00596173">
      <w:pPr>
        <w:spacing w:after="0" w:line="240" w:lineRule="auto"/>
      </w:pPr>
      <w:r>
        <w:continuationSeparator/>
      </w:r>
    </w:p>
  </w:footnote>
  <w:footnote w:type="continuationNotice" w:id="1">
    <w:p w14:paraId="029C3DC7" w14:textId="77777777" w:rsidR="00A24B4E" w:rsidRDefault="00A24B4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Fm5pCuty" int2:invalidationBookmarkName="" int2:hashCode="Jjbyvviq94feLj" int2:id="EQQRZjy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59B"/>
    <w:multiLevelType w:val="hybridMultilevel"/>
    <w:tmpl w:val="6D48DA4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7CBC9"/>
    <w:multiLevelType w:val="hybridMultilevel"/>
    <w:tmpl w:val="CD0E19FA"/>
    <w:lvl w:ilvl="0" w:tplc="0E448C2E">
      <w:start w:val="1"/>
      <w:numFmt w:val="bullet"/>
      <w:lvlText w:val="-"/>
      <w:lvlJc w:val="left"/>
      <w:pPr>
        <w:ind w:left="720" w:hanging="360"/>
      </w:pPr>
      <w:rPr>
        <w:rFonts w:ascii="Calibri" w:hAnsi="Calibri" w:hint="default"/>
      </w:rPr>
    </w:lvl>
    <w:lvl w:ilvl="1" w:tplc="5412CD00">
      <w:start w:val="1"/>
      <w:numFmt w:val="bullet"/>
      <w:lvlText w:val="o"/>
      <w:lvlJc w:val="left"/>
      <w:pPr>
        <w:ind w:left="1440" w:hanging="360"/>
      </w:pPr>
      <w:rPr>
        <w:rFonts w:ascii="Courier New" w:hAnsi="Courier New" w:hint="default"/>
      </w:rPr>
    </w:lvl>
    <w:lvl w:ilvl="2" w:tplc="17BE5D2E">
      <w:start w:val="1"/>
      <w:numFmt w:val="bullet"/>
      <w:lvlText w:val=""/>
      <w:lvlJc w:val="left"/>
      <w:pPr>
        <w:ind w:left="2160" w:hanging="360"/>
      </w:pPr>
      <w:rPr>
        <w:rFonts w:ascii="Wingdings" w:hAnsi="Wingdings" w:hint="default"/>
      </w:rPr>
    </w:lvl>
    <w:lvl w:ilvl="3" w:tplc="14C648F4">
      <w:start w:val="1"/>
      <w:numFmt w:val="bullet"/>
      <w:lvlText w:val=""/>
      <w:lvlJc w:val="left"/>
      <w:pPr>
        <w:ind w:left="2880" w:hanging="360"/>
      </w:pPr>
      <w:rPr>
        <w:rFonts w:ascii="Symbol" w:hAnsi="Symbol" w:hint="default"/>
      </w:rPr>
    </w:lvl>
    <w:lvl w:ilvl="4" w:tplc="1FCEA942">
      <w:start w:val="1"/>
      <w:numFmt w:val="bullet"/>
      <w:lvlText w:val="o"/>
      <w:lvlJc w:val="left"/>
      <w:pPr>
        <w:ind w:left="3600" w:hanging="360"/>
      </w:pPr>
      <w:rPr>
        <w:rFonts w:ascii="Courier New" w:hAnsi="Courier New" w:hint="default"/>
      </w:rPr>
    </w:lvl>
    <w:lvl w:ilvl="5" w:tplc="C4B87C5C">
      <w:start w:val="1"/>
      <w:numFmt w:val="bullet"/>
      <w:lvlText w:val=""/>
      <w:lvlJc w:val="left"/>
      <w:pPr>
        <w:ind w:left="4320" w:hanging="360"/>
      </w:pPr>
      <w:rPr>
        <w:rFonts w:ascii="Wingdings" w:hAnsi="Wingdings" w:hint="default"/>
      </w:rPr>
    </w:lvl>
    <w:lvl w:ilvl="6" w:tplc="730891F4">
      <w:start w:val="1"/>
      <w:numFmt w:val="bullet"/>
      <w:lvlText w:val=""/>
      <w:lvlJc w:val="left"/>
      <w:pPr>
        <w:ind w:left="5040" w:hanging="360"/>
      </w:pPr>
      <w:rPr>
        <w:rFonts w:ascii="Symbol" w:hAnsi="Symbol" w:hint="default"/>
      </w:rPr>
    </w:lvl>
    <w:lvl w:ilvl="7" w:tplc="9FAAB1E0">
      <w:start w:val="1"/>
      <w:numFmt w:val="bullet"/>
      <w:lvlText w:val="o"/>
      <w:lvlJc w:val="left"/>
      <w:pPr>
        <w:ind w:left="5760" w:hanging="360"/>
      </w:pPr>
      <w:rPr>
        <w:rFonts w:ascii="Courier New" w:hAnsi="Courier New" w:hint="default"/>
      </w:rPr>
    </w:lvl>
    <w:lvl w:ilvl="8" w:tplc="76400DF0">
      <w:start w:val="1"/>
      <w:numFmt w:val="bullet"/>
      <w:lvlText w:val=""/>
      <w:lvlJc w:val="left"/>
      <w:pPr>
        <w:ind w:left="6480" w:hanging="360"/>
      </w:pPr>
      <w:rPr>
        <w:rFonts w:ascii="Wingdings" w:hAnsi="Wingdings" w:hint="default"/>
      </w:rPr>
    </w:lvl>
  </w:abstractNum>
  <w:abstractNum w:abstractNumId="2" w15:restartNumberingAfterBreak="0">
    <w:nsid w:val="11EBA68B"/>
    <w:multiLevelType w:val="multilevel"/>
    <w:tmpl w:val="6A1C456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5F0F6E"/>
    <w:multiLevelType w:val="hybridMultilevel"/>
    <w:tmpl w:val="6406A458"/>
    <w:lvl w:ilvl="0" w:tplc="36408FE2">
      <w:start w:val="1"/>
      <w:numFmt w:val="bullet"/>
      <w:lvlText w:val="-"/>
      <w:lvlJc w:val="left"/>
      <w:pPr>
        <w:ind w:left="720" w:hanging="360"/>
      </w:pPr>
      <w:rPr>
        <w:rFonts w:ascii="Calibri" w:hAnsi="Calibri" w:hint="default"/>
      </w:rPr>
    </w:lvl>
    <w:lvl w:ilvl="1" w:tplc="6CC896C4">
      <w:start w:val="1"/>
      <w:numFmt w:val="bullet"/>
      <w:lvlText w:val="o"/>
      <w:lvlJc w:val="left"/>
      <w:pPr>
        <w:ind w:left="1440" w:hanging="360"/>
      </w:pPr>
      <w:rPr>
        <w:rFonts w:ascii="Courier New" w:hAnsi="Courier New" w:hint="default"/>
      </w:rPr>
    </w:lvl>
    <w:lvl w:ilvl="2" w:tplc="55086510">
      <w:start w:val="1"/>
      <w:numFmt w:val="bullet"/>
      <w:lvlText w:val=""/>
      <w:lvlJc w:val="left"/>
      <w:pPr>
        <w:ind w:left="2160" w:hanging="360"/>
      </w:pPr>
      <w:rPr>
        <w:rFonts w:ascii="Wingdings" w:hAnsi="Wingdings" w:hint="default"/>
      </w:rPr>
    </w:lvl>
    <w:lvl w:ilvl="3" w:tplc="7974D91E">
      <w:start w:val="1"/>
      <w:numFmt w:val="bullet"/>
      <w:lvlText w:val=""/>
      <w:lvlJc w:val="left"/>
      <w:pPr>
        <w:ind w:left="2880" w:hanging="360"/>
      </w:pPr>
      <w:rPr>
        <w:rFonts w:ascii="Symbol" w:hAnsi="Symbol" w:hint="default"/>
      </w:rPr>
    </w:lvl>
    <w:lvl w:ilvl="4" w:tplc="E0D011B6">
      <w:start w:val="1"/>
      <w:numFmt w:val="bullet"/>
      <w:lvlText w:val="o"/>
      <w:lvlJc w:val="left"/>
      <w:pPr>
        <w:ind w:left="3600" w:hanging="360"/>
      </w:pPr>
      <w:rPr>
        <w:rFonts w:ascii="Courier New" w:hAnsi="Courier New" w:hint="default"/>
      </w:rPr>
    </w:lvl>
    <w:lvl w:ilvl="5" w:tplc="C9FC6486">
      <w:start w:val="1"/>
      <w:numFmt w:val="bullet"/>
      <w:lvlText w:val=""/>
      <w:lvlJc w:val="left"/>
      <w:pPr>
        <w:ind w:left="4320" w:hanging="360"/>
      </w:pPr>
      <w:rPr>
        <w:rFonts w:ascii="Wingdings" w:hAnsi="Wingdings" w:hint="default"/>
      </w:rPr>
    </w:lvl>
    <w:lvl w:ilvl="6" w:tplc="EB3E2F52">
      <w:start w:val="1"/>
      <w:numFmt w:val="bullet"/>
      <w:lvlText w:val=""/>
      <w:lvlJc w:val="left"/>
      <w:pPr>
        <w:ind w:left="5040" w:hanging="360"/>
      </w:pPr>
      <w:rPr>
        <w:rFonts w:ascii="Symbol" w:hAnsi="Symbol" w:hint="default"/>
      </w:rPr>
    </w:lvl>
    <w:lvl w:ilvl="7" w:tplc="CCB84958">
      <w:start w:val="1"/>
      <w:numFmt w:val="bullet"/>
      <w:lvlText w:val="o"/>
      <w:lvlJc w:val="left"/>
      <w:pPr>
        <w:ind w:left="5760" w:hanging="360"/>
      </w:pPr>
      <w:rPr>
        <w:rFonts w:ascii="Courier New" w:hAnsi="Courier New" w:hint="default"/>
      </w:rPr>
    </w:lvl>
    <w:lvl w:ilvl="8" w:tplc="1444D4A2">
      <w:start w:val="1"/>
      <w:numFmt w:val="bullet"/>
      <w:lvlText w:val=""/>
      <w:lvlJc w:val="left"/>
      <w:pPr>
        <w:ind w:left="6480" w:hanging="360"/>
      </w:pPr>
      <w:rPr>
        <w:rFonts w:ascii="Wingdings" w:hAnsi="Wingdings" w:hint="default"/>
      </w:rPr>
    </w:lvl>
  </w:abstractNum>
  <w:abstractNum w:abstractNumId="4" w15:restartNumberingAfterBreak="0">
    <w:nsid w:val="36B57D00"/>
    <w:multiLevelType w:val="hybridMultilevel"/>
    <w:tmpl w:val="04B4E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11701B"/>
    <w:multiLevelType w:val="hybridMultilevel"/>
    <w:tmpl w:val="9E6AB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E54E92"/>
    <w:multiLevelType w:val="hybridMultilevel"/>
    <w:tmpl w:val="05CA99CC"/>
    <w:lvl w:ilvl="0" w:tplc="238C0AE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DB6B3"/>
    <w:multiLevelType w:val="multilevel"/>
    <w:tmpl w:val="FB00B3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779DEE"/>
    <w:multiLevelType w:val="hybridMultilevel"/>
    <w:tmpl w:val="0234CFDC"/>
    <w:lvl w:ilvl="0" w:tplc="C1A69792">
      <w:start w:val="1"/>
      <w:numFmt w:val="decimal"/>
      <w:lvlText w:val="%1."/>
      <w:lvlJc w:val="left"/>
      <w:pPr>
        <w:ind w:left="720" w:hanging="360"/>
      </w:pPr>
    </w:lvl>
    <w:lvl w:ilvl="1" w:tplc="38AA3AE8">
      <w:start w:val="1"/>
      <w:numFmt w:val="lowerLetter"/>
      <w:lvlText w:val="%2."/>
      <w:lvlJc w:val="left"/>
      <w:pPr>
        <w:ind w:left="1440" w:hanging="360"/>
      </w:pPr>
    </w:lvl>
    <w:lvl w:ilvl="2" w:tplc="3E9C792E">
      <w:start w:val="1"/>
      <w:numFmt w:val="lowerRoman"/>
      <w:lvlText w:val="%3."/>
      <w:lvlJc w:val="right"/>
      <w:pPr>
        <w:ind w:left="2160" w:hanging="180"/>
      </w:pPr>
    </w:lvl>
    <w:lvl w:ilvl="3" w:tplc="3EA0E52E">
      <w:start w:val="1"/>
      <w:numFmt w:val="decimal"/>
      <w:lvlText w:val="%4."/>
      <w:lvlJc w:val="left"/>
      <w:pPr>
        <w:ind w:left="2880" w:hanging="360"/>
      </w:pPr>
    </w:lvl>
    <w:lvl w:ilvl="4" w:tplc="C9D2206E">
      <w:start w:val="1"/>
      <w:numFmt w:val="lowerLetter"/>
      <w:lvlText w:val="%5."/>
      <w:lvlJc w:val="left"/>
      <w:pPr>
        <w:ind w:left="3600" w:hanging="360"/>
      </w:pPr>
    </w:lvl>
    <w:lvl w:ilvl="5" w:tplc="7EB0C6D8">
      <w:start w:val="1"/>
      <w:numFmt w:val="lowerRoman"/>
      <w:lvlText w:val="%6."/>
      <w:lvlJc w:val="right"/>
      <w:pPr>
        <w:ind w:left="4320" w:hanging="180"/>
      </w:pPr>
    </w:lvl>
    <w:lvl w:ilvl="6" w:tplc="F1CCB74E">
      <w:start w:val="1"/>
      <w:numFmt w:val="decimal"/>
      <w:lvlText w:val="%7."/>
      <w:lvlJc w:val="left"/>
      <w:pPr>
        <w:ind w:left="5040" w:hanging="360"/>
      </w:pPr>
    </w:lvl>
    <w:lvl w:ilvl="7" w:tplc="C414A680">
      <w:start w:val="1"/>
      <w:numFmt w:val="lowerLetter"/>
      <w:lvlText w:val="%8."/>
      <w:lvlJc w:val="left"/>
      <w:pPr>
        <w:ind w:left="5760" w:hanging="360"/>
      </w:pPr>
    </w:lvl>
    <w:lvl w:ilvl="8" w:tplc="17EC18AA">
      <w:start w:val="1"/>
      <w:numFmt w:val="lowerRoman"/>
      <w:lvlText w:val="%9."/>
      <w:lvlJc w:val="right"/>
      <w:pPr>
        <w:ind w:left="6480" w:hanging="180"/>
      </w:pPr>
    </w:lvl>
  </w:abstractNum>
  <w:abstractNum w:abstractNumId="9" w15:restartNumberingAfterBreak="0">
    <w:nsid w:val="5E0D1DF4"/>
    <w:multiLevelType w:val="hybridMultilevel"/>
    <w:tmpl w:val="3F60A05A"/>
    <w:lvl w:ilvl="0" w:tplc="41B2ADB2">
      <w:start w:val="1"/>
      <w:numFmt w:val="decimal"/>
      <w:lvlText w:val="%1."/>
      <w:lvlJc w:val="left"/>
      <w:pPr>
        <w:ind w:left="720" w:hanging="360"/>
      </w:pPr>
    </w:lvl>
    <w:lvl w:ilvl="1" w:tplc="2B164614">
      <w:start w:val="1"/>
      <w:numFmt w:val="lowerLetter"/>
      <w:lvlText w:val="%2."/>
      <w:lvlJc w:val="left"/>
      <w:pPr>
        <w:ind w:left="1440" w:hanging="360"/>
      </w:pPr>
    </w:lvl>
    <w:lvl w:ilvl="2" w:tplc="FF4E1DB6">
      <w:start w:val="1"/>
      <w:numFmt w:val="lowerRoman"/>
      <w:lvlText w:val="%3."/>
      <w:lvlJc w:val="right"/>
      <w:pPr>
        <w:ind w:left="2160" w:hanging="180"/>
      </w:pPr>
    </w:lvl>
    <w:lvl w:ilvl="3" w:tplc="36469250">
      <w:start w:val="1"/>
      <w:numFmt w:val="decimal"/>
      <w:lvlText w:val="%4."/>
      <w:lvlJc w:val="left"/>
      <w:pPr>
        <w:ind w:left="2880" w:hanging="360"/>
      </w:pPr>
    </w:lvl>
    <w:lvl w:ilvl="4" w:tplc="93EC3ABE">
      <w:start w:val="1"/>
      <w:numFmt w:val="lowerLetter"/>
      <w:lvlText w:val="%5."/>
      <w:lvlJc w:val="left"/>
      <w:pPr>
        <w:ind w:left="3600" w:hanging="360"/>
      </w:pPr>
    </w:lvl>
    <w:lvl w:ilvl="5" w:tplc="D416F2FE">
      <w:start w:val="1"/>
      <w:numFmt w:val="lowerRoman"/>
      <w:lvlText w:val="%6."/>
      <w:lvlJc w:val="right"/>
      <w:pPr>
        <w:ind w:left="4320" w:hanging="180"/>
      </w:pPr>
    </w:lvl>
    <w:lvl w:ilvl="6" w:tplc="8A52CD4A">
      <w:start w:val="1"/>
      <w:numFmt w:val="decimal"/>
      <w:lvlText w:val="%7."/>
      <w:lvlJc w:val="left"/>
      <w:pPr>
        <w:ind w:left="5040" w:hanging="360"/>
      </w:pPr>
    </w:lvl>
    <w:lvl w:ilvl="7" w:tplc="12EAE29E">
      <w:start w:val="1"/>
      <w:numFmt w:val="lowerLetter"/>
      <w:lvlText w:val="%8."/>
      <w:lvlJc w:val="left"/>
      <w:pPr>
        <w:ind w:left="5760" w:hanging="360"/>
      </w:pPr>
    </w:lvl>
    <w:lvl w:ilvl="8" w:tplc="5AF2569C">
      <w:start w:val="1"/>
      <w:numFmt w:val="lowerRoman"/>
      <w:lvlText w:val="%9."/>
      <w:lvlJc w:val="right"/>
      <w:pPr>
        <w:ind w:left="6480" w:hanging="180"/>
      </w:pPr>
    </w:lvl>
  </w:abstractNum>
  <w:abstractNum w:abstractNumId="10" w15:restartNumberingAfterBreak="0">
    <w:nsid w:val="78D976DC"/>
    <w:multiLevelType w:val="hybridMultilevel"/>
    <w:tmpl w:val="02E2FD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39267B"/>
    <w:multiLevelType w:val="hybridMultilevel"/>
    <w:tmpl w:val="3D5E99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6161337">
    <w:abstractNumId w:val="2"/>
  </w:num>
  <w:num w:numId="2" w16cid:durableId="704450575">
    <w:abstractNumId w:val="7"/>
  </w:num>
  <w:num w:numId="3" w16cid:durableId="772407467">
    <w:abstractNumId w:val="8"/>
  </w:num>
  <w:num w:numId="4" w16cid:durableId="771629058">
    <w:abstractNumId w:val="1"/>
  </w:num>
  <w:num w:numId="5" w16cid:durableId="1425300103">
    <w:abstractNumId w:val="3"/>
  </w:num>
  <w:num w:numId="6" w16cid:durableId="254632890">
    <w:abstractNumId w:val="9"/>
  </w:num>
  <w:num w:numId="7" w16cid:durableId="691758707">
    <w:abstractNumId w:val="0"/>
  </w:num>
  <w:num w:numId="8" w16cid:durableId="1855725468">
    <w:abstractNumId w:val="11"/>
  </w:num>
  <w:num w:numId="9" w16cid:durableId="451216346">
    <w:abstractNumId w:val="10"/>
  </w:num>
  <w:num w:numId="10" w16cid:durableId="686248855">
    <w:abstractNumId w:val="4"/>
  </w:num>
  <w:num w:numId="11" w16cid:durableId="647367655">
    <w:abstractNumId w:val="5"/>
  </w:num>
  <w:num w:numId="12" w16cid:durableId="926158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A"/>
    <w:rsid w:val="00005689"/>
    <w:rsid w:val="000173DC"/>
    <w:rsid w:val="00037A39"/>
    <w:rsid w:val="00037CF6"/>
    <w:rsid w:val="00070231"/>
    <w:rsid w:val="000738B0"/>
    <w:rsid w:val="00090EB3"/>
    <w:rsid w:val="000B3F32"/>
    <w:rsid w:val="000B5AB6"/>
    <w:rsid w:val="000B78F3"/>
    <w:rsid w:val="000D3DE3"/>
    <w:rsid w:val="000D7652"/>
    <w:rsid w:val="000D7EFB"/>
    <w:rsid w:val="000F35AF"/>
    <w:rsid w:val="00100C9F"/>
    <w:rsid w:val="001177C4"/>
    <w:rsid w:val="00144AF5"/>
    <w:rsid w:val="001517F3"/>
    <w:rsid w:val="00166C7B"/>
    <w:rsid w:val="00175A39"/>
    <w:rsid w:val="00192FBA"/>
    <w:rsid w:val="001A1B5F"/>
    <w:rsid w:val="001D3E9D"/>
    <w:rsid w:val="001F5055"/>
    <w:rsid w:val="0020721D"/>
    <w:rsid w:val="00210543"/>
    <w:rsid w:val="002170E5"/>
    <w:rsid w:val="00230431"/>
    <w:rsid w:val="00234B8A"/>
    <w:rsid w:val="00272ACC"/>
    <w:rsid w:val="00286A68"/>
    <w:rsid w:val="00297C95"/>
    <w:rsid w:val="002A25BE"/>
    <w:rsid w:val="002B5250"/>
    <w:rsid w:val="002B58BC"/>
    <w:rsid w:val="002C5DE1"/>
    <w:rsid w:val="00303DB8"/>
    <w:rsid w:val="00305B5F"/>
    <w:rsid w:val="00307B3E"/>
    <w:rsid w:val="00315C9D"/>
    <w:rsid w:val="00322189"/>
    <w:rsid w:val="00332658"/>
    <w:rsid w:val="00336852"/>
    <w:rsid w:val="00361AAB"/>
    <w:rsid w:val="00376069"/>
    <w:rsid w:val="00380E83"/>
    <w:rsid w:val="00396AA4"/>
    <w:rsid w:val="003B7031"/>
    <w:rsid w:val="003D4B4A"/>
    <w:rsid w:val="003E1E1D"/>
    <w:rsid w:val="00404C4C"/>
    <w:rsid w:val="00406179"/>
    <w:rsid w:val="00415B3C"/>
    <w:rsid w:val="004253E3"/>
    <w:rsid w:val="00434D43"/>
    <w:rsid w:val="004352FF"/>
    <w:rsid w:val="00440456"/>
    <w:rsid w:val="0046229D"/>
    <w:rsid w:val="00464A5E"/>
    <w:rsid w:val="00490743"/>
    <w:rsid w:val="0049138B"/>
    <w:rsid w:val="00491441"/>
    <w:rsid w:val="004A20C9"/>
    <w:rsid w:val="004CCF9B"/>
    <w:rsid w:val="004D2A33"/>
    <w:rsid w:val="004D3E02"/>
    <w:rsid w:val="004D637A"/>
    <w:rsid w:val="004D75FB"/>
    <w:rsid w:val="004E3878"/>
    <w:rsid w:val="005126C2"/>
    <w:rsid w:val="00525597"/>
    <w:rsid w:val="00537075"/>
    <w:rsid w:val="00541FFB"/>
    <w:rsid w:val="00542E6B"/>
    <w:rsid w:val="005448EC"/>
    <w:rsid w:val="00562F28"/>
    <w:rsid w:val="00571C56"/>
    <w:rsid w:val="00574098"/>
    <w:rsid w:val="00580A39"/>
    <w:rsid w:val="0058360B"/>
    <w:rsid w:val="0059251A"/>
    <w:rsid w:val="00596173"/>
    <w:rsid w:val="005A2BAC"/>
    <w:rsid w:val="005A8BF3"/>
    <w:rsid w:val="005C52E3"/>
    <w:rsid w:val="005E0E70"/>
    <w:rsid w:val="005E759C"/>
    <w:rsid w:val="005F7DBC"/>
    <w:rsid w:val="00606570"/>
    <w:rsid w:val="006162CF"/>
    <w:rsid w:val="006217A9"/>
    <w:rsid w:val="00623FCE"/>
    <w:rsid w:val="00624C5A"/>
    <w:rsid w:val="00625E57"/>
    <w:rsid w:val="006623CC"/>
    <w:rsid w:val="00674797"/>
    <w:rsid w:val="0068155C"/>
    <w:rsid w:val="006A454C"/>
    <w:rsid w:val="006A63EF"/>
    <w:rsid w:val="006B7550"/>
    <w:rsid w:val="006C5CDB"/>
    <w:rsid w:val="006C69F8"/>
    <w:rsid w:val="006D75BA"/>
    <w:rsid w:val="007237BB"/>
    <w:rsid w:val="0072428D"/>
    <w:rsid w:val="00725EE6"/>
    <w:rsid w:val="00730BA1"/>
    <w:rsid w:val="0073611A"/>
    <w:rsid w:val="007414DC"/>
    <w:rsid w:val="0074767B"/>
    <w:rsid w:val="00750B85"/>
    <w:rsid w:val="00751F1D"/>
    <w:rsid w:val="00783350"/>
    <w:rsid w:val="007A5930"/>
    <w:rsid w:val="007B6CD0"/>
    <w:rsid w:val="007B79E6"/>
    <w:rsid w:val="00807C94"/>
    <w:rsid w:val="00815836"/>
    <w:rsid w:val="00816546"/>
    <w:rsid w:val="00845244"/>
    <w:rsid w:val="0086181F"/>
    <w:rsid w:val="00863F7A"/>
    <w:rsid w:val="008668E3"/>
    <w:rsid w:val="00870752"/>
    <w:rsid w:val="00870841"/>
    <w:rsid w:val="00870BAE"/>
    <w:rsid w:val="00895E06"/>
    <w:rsid w:val="008B4717"/>
    <w:rsid w:val="008B738A"/>
    <w:rsid w:val="008C3CC1"/>
    <w:rsid w:val="008C48FB"/>
    <w:rsid w:val="008D0DE7"/>
    <w:rsid w:val="008D1324"/>
    <w:rsid w:val="008D7F11"/>
    <w:rsid w:val="008E0D65"/>
    <w:rsid w:val="008F5D77"/>
    <w:rsid w:val="00913106"/>
    <w:rsid w:val="00913338"/>
    <w:rsid w:val="00916FFB"/>
    <w:rsid w:val="00954EBC"/>
    <w:rsid w:val="009573D4"/>
    <w:rsid w:val="00958DD6"/>
    <w:rsid w:val="009776BA"/>
    <w:rsid w:val="009A2C20"/>
    <w:rsid w:val="009A506D"/>
    <w:rsid w:val="009C5FA6"/>
    <w:rsid w:val="009C7511"/>
    <w:rsid w:val="009D00EC"/>
    <w:rsid w:val="009E0C3F"/>
    <w:rsid w:val="009E24B3"/>
    <w:rsid w:val="009F3D96"/>
    <w:rsid w:val="009F43A2"/>
    <w:rsid w:val="00A04079"/>
    <w:rsid w:val="00A04A27"/>
    <w:rsid w:val="00A059B3"/>
    <w:rsid w:val="00A07E4E"/>
    <w:rsid w:val="00A2157A"/>
    <w:rsid w:val="00A24B4E"/>
    <w:rsid w:val="00A3284C"/>
    <w:rsid w:val="00A429C8"/>
    <w:rsid w:val="00A462D4"/>
    <w:rsid w:val="00A544DC"/>
    <w:rsid w:val="00A6782D"/>
    <w:rsid w:val="00A72E6B"/>
    <w:rsid w:val="00A754D8"/>
    <w:rsid w:val="00A82DF0"/>
    <w:rsid w:val="00A84301"/>
    <w:rsid w:val="00A877BF"/>
    <w:rsid w:val="00A92FC1"/>
    <w:rsid w:val="00AB641F"/>
    <w:rsid w:val="00AD7019"/>
    <w:rsid w:val="00AF45EE"/>
    <w:rsid w:val="00B0461F"/>
    <w:rsid w:val="00B17DFA"/>
    <w:rsid w:val="00B45C48"/>
    <w:rsid w:val="00B46970"/>
    <w:rsid w:val="00B46E0C"/>
    <w:rsid w:val="00B66E7F"/>
    <w:rsid w:val="00B7625C"/>
    <w:rsid w:val="00B77DD3"/>
    <w:rsid w:val="00B83142"/>
    <w:rsid w:val="00BA19AF"/>
    <w:rsid w:val="00BA2216"/>
    <w:rsid w:val="00BA6FF7"/>
    <w:rsid w:val="00BC5415"/>
    <w:rsid w:val="00BD7B63"/>
    <w:rsid w:val="00BE1498"/>
    <w:rsid w:val="00BE5E8E"/>
    <w:rsid w:val="00BF5953"/>
    <w:rsid w:val="00C01F2E"/>
    <w:rsid w:val="00C02431"/>
    <w:rsid w:val="00C20293"/>
    <w:rsid w:val="00C20F72"/>
    <w:rsid w:val="00C34404"/>
    <w:rsid w:val="00C37B3D"/>
    <w:rsid w:val="00C42E29"/>
    <w:rsid w:val="00C572C8"/>
    <w:rsid w:val="00C90CED"/>
    <w:rsid w:val="00CB29D5"/>
    <w:rsid w:val="00CC59C2"/>
    <w:rsid w:val="00CF5974"/>
    <w:rsid w:val="00D22BFE"/>
    <w:rsid w:val="00D57983"/>
    <w:rsid w:val="00D63885"/>
    <w:rsid w:val="00D672B1"/>
    <w:rsid w:val="00D70C5A"/>
    <w:rsid w:val="00D73DE9"/>
    <w:rsid w:val="00D963E8"/>
    <w:rsid w:val="00D9701D"/>
    <w:rsid w:val="00DB77A1"/>
    <w:rsid w:val="00DC4C7D"/>
    <w:rsid w:val="00DF3082"/>
    <w:rsid w:val="00E00F36"/>
    <w:rsid w:val="00E15115"/>
    <w:rsid w:val="00E17D99"/>
    <w:rsid w:val="00E212B2"/>
    <w:rsid w:val="00E2720C"/>
    <w:rsid w:val="00E4426B"/>
    <w:rsid w:val="00E52EA8"/>
    <w:rsid w:val="00E55357"/>
    <w:rsid w:val="00E61195"/>
    <w:rsid w:val="00E8B6F6"/>
    <w:rsid w:val="00E933B8"/>
    <w:rsid w:val="00E951D5"/>
    <w:rsid w:val="00E95991"/>
    <w:rsid w:val="00EA35FE"/>
    <w:rsid w:val="00EA36F8"/>
    <w:rsid w:val="00EA733F"/>
    <w:rsid w:val="00EB0667"/>
    <w:rsid w:val="00EB0FB3"/>
    <w:rsid w:val="00EC0BB7"/>
    <w:rsid w:val="00ED25D0"/>
    <w:rsid w:val="00ED6D47"/>
    <w:rsid w:val="00EE4767"/>
    <w:rsid w:val="00EE55F4"/>
    <w:rsid w:val="00EE6CE7"/>
    <w:rsid w:val="00EF41BE"/>
    <w:rsid w:val="00F063D8"/>
    <w:rsid w:val="00F15E8E"/>
    <w:rsid w:val="00F33857"/>
    <w:rsid w:val="00F46F39"/>
    <w:rsid w:val="00F53E65"/>
    <w:rsid w:val="00F668B7"/>
    <w:rsid w:val="00FA7591"/>
    <w:rsid w:val="00FB4321"/>
    <w:rsid w:val="00FD5FE8"/>
    <w:rsid w:val="00FFFACD"/>
    <w:rsid w:val="0123B4F7"/>
    <w:rsid w:val="01AE945C"/>
    <w:rsid w:val="02315E37"/>
    <w:rsid w:val="02527DB7"/>
    <w:rsid w:val="02D9E284"/>
    <w:rsid w:val="02E3CC3B"/>
    <w:rsid w:val="02E913EF"/>
    <w:rsid w:val="032F8D18"/>
    <w:rsid w:val="03BEB54D"/>
    <w:rsid w:val="03C381B9"/>
    <w:rsid w:val="040DB689"/>
    <w:rsid w:val="0415C5C1"/>
    <w:rsid w:val="044650DE"/>
    <w:rsid w:val="0466D8BC"/>
    <w:rsid w:val="047B1383"/>
    <w:rsid w:val="0483AF91"/>
    <w:rsid w:val="049C2895"/>
    <w:rsid w:val="04A52789"/>
    <w:rsid w:val="04B82013"/>
    <w:rsid w:val="057CC7F7"/>
    <w:rsid w:val="05D84CD6"/>
    <w:rsid w:val="05F8BC12"/>
    <w:rsid w:val="063936A8"/>
    <w:rsid w:val="065606DF"/>
    <w:rsid w:val="0697DDDA"/>
    <w:rsid w:val="06D4DC80"/>
    <w:rsid w:val="06E1BDF2"/>
    <w:rsid w:val="0779DEB1"/>
    <w:rsid w:val="07AA999E"/>
    <w:rsid w:val="07C6A563"/>
    <w:rsid w:val="0867A22A"/>
    <w:rsid w:val="08FFF85A"/>
    <w:rsid w:val="093816CA"/>
    <w:rsid w:val="096C3CE0"/>
    <w:rsid w:val="0A5F7B8F"/>
    <w:rsid w:val="0AB80DD5"/>
    <w:rsid w:val="0C3B3EC1"/>
    <w:rsid w:val="0CA3A522"/>
    <w:rsid w:val="0D20BDA2"/>
    <w:rsid w:val="0D348BCA"/>
    <w:rsid w:val="0D834238"/>
    <w:rsid w:val="0DBC6577"/>
    <w:rsid w:val="0E277255"/>
    <w:rsid w:val="0E6D2B24"/>
    <w:rsid w:val="0EA0B9ED"/>
    <w:rsid w:val="0F3A8FC3"/>
    <w:rsid w:val="0F51120B"/>
    <w:rsid w:val="0F53E76D"/>
    <w:rsid w:val="0F578B7B"/>
    <w:rsid w:val="0FA785AF"/>
    <w:rsid w:val="103F69AB"/>
    <w:rsid w:val="10B2AD6A"/>
    <w:rsid w:val="111452F6"/>
    <w:rsid w:val="11CD3B63"/>
    <w:rsid w:val="12BC1396"/>
    <w:rsid w:val="13269253"/>
    <w:rsid w:val="135CB22E"/>
    <w:rsid w:val="136BD743"/>
    <w:rsid w:val="1382DFD4"/>
    <w:rsid w:val="14751E7B"/>
    <w:rsid w:val="14E12268"/>
    <w:rsid w:val="14ED2BB4"/>
    <w:rsid w:val="15B0F7B2"/>
    <w:rsid w:val="15B7F413"/>
    <w:rsid w:val="15E70A32"/>
    <w:rsid w:val="160C38E4"/>
    <w:rsid w:val="16D9514C"/>
    <w:rsid w:val="1714675F"/>
    <w:rsid w:val="1755C341"/>
    <w:rsid w:val="1788214E"/>
    <w:rsid w:val="17C574FA"/>
    <w:rsid w:val="17C9373D"/>
    <w:rsid w:val="17D61B36"/>
    <w:rsid w:val="18533388"/>
    <w:rsid w:val="18C4FC98"/>
    <w:rsid w:val="18F51C66"/>
    <w:rsid w:val="18FDDF84"/>
    <w:rsid w:val="19109C76"/>
    <w:rsid w:val="19A519FC"/>
    <w:rsid w:val="19E93466"/>
    <w:rsid w:val="1A54BE00"/>
    <w:rsid w:val="1A669CA2"/>
    <w:rsid w:val="1A8B076B"/>
    <w:rsid w:val="1A960FAB"/>
    <w:rsid w:val="1ABA7B55"/>
    <w:rsid w:val="1B01BB2D"/>
    <w:rsid w:val="1BAE3E48"/>
    <w:rsid w:val="1C0CCD30"/>
    <w:rsid w:val="1C3D2359"/>
    <w:rsid w:val="1C719154"/>
    <w:rsid w:val="1C9E0B2F"/>
    <w:rsid w:val="1CD900CE"/>
    <w:rsid w:val="1CDDFF59"/>
    <w:rsid w:val="1CE83B7E"/>
    <w:rsid w:val="1CEA1E5D"/>
    <w:rsid w:val="1CFCBA83"/>
    <w:rsid w:val="1D1AC196"/>
    <w:rsid w:val="1D3D21C6"/>
    <w:rsid w:val="1D529D1A"/>
    <w:rsid w:val="1D711953"/>
    <w:rsid w:val="1DCAAE3B"/>
    <w:rsid w:val="1DDD1D98"/>
    <w:rsid w:val="1E228594"/>
    <w:rsid w:val="1E54AD8C"/>
    <w:rsid w:val="1EFD4BE6"/>
    <w:rsid w:val="1F07B62F"/>
    <w:rsid w:val="1FC5FE79"/>
    <w:rsid w:val="1FC94330"/>
    <w:rsid w:val="2021BF1F"/>
    <w:rsid w:val="2094193F"/>
    <w:rsid w:val="20ACECF2"/>
    <w:rsid w:val="20CE7878"/>
    <w:rsid w:val="20FD5F5C"/>
    <w:rsid w:val="21CE9E00"/>
    <w:rsid w:val="2202EBDC"/>
    <w:rsid w:val="22AC64DD"/>
    <w:rsid w:val="22C58D3A"/>
    <w:rsid w:val="22C5CC65"/>
    <w:rsid w:val="22F6F1A0"/>
    <w:rsid w:val="22FD9F3B"/>
    <w:rsid w:val="2305B191"/>
    <w:rsid w:val="23641813"/>
    <w:rsid w:val="23646782"/>
    <w:rsid w:val="23AD110D"/>
    <w:rsid w:val="23BE1860"/>
    <w:rsid w:val="23D1C65D"/>
    <w:rsid w:val="24020781"/>
    <w:rsid w:val="24362586"/>
    <w:rsid w:val="24392BA9"/>
    <w:rsid w:val="2469707C"/>
    <w:rsid w:val="2490A21B"/>
    <w:rsid w:val="24BB43F0"/>
    <w:rsid w:val="2537C888"/>
    <w:rsid w:val="2556DC70"/>
    <w:rsid w:val="256E7450"/>
    <w:rsid w:val="25A7C8A3"/>
    <w:rsid w:val="25B6C742"/>
    <w:rsid w:val="2623355D"/>
    <w:rsid w:val="2648AE26"/>
    <w:rsid w:val="2654093F"/>
    <w:rsid w:val="26BD8FAC"/>
    <w:rsid w:val="273334D1"/>
    <w:rsid w:val="277ECB48"/>
    <w:rsid w:val="2798FE5D"/>
    <w:rsid w:val="27DBF241"/>
    <w:rsid w:val="27EFD4B5"/>
    <w:rsid w:val="280975A5"/>
    <w:rsid w:val="282257D0"/>
    <w:rsid w:val="28440BBB"/>
    <w:rsid w:val="28638937"/>
    <w:rsid w:val="286E6958"/>
    <w:rsid w:val="287CE404"/>
    <w:rsid w:val="28954FC1"/>
    <w:rsid w:val="28AF9136"/>
    <w:rsid w:val="2917B7B6"/>
    <w:rsid w:val="291BA661"/>
    <w:rsid w:val="292393E7"/>
    <w:rsid w:val="295F7CA2"/>
    <w:rsid w:val="297221C0"/>
    <w:rsid w:val="2A427E7E"/>
    <w:rsid w:val="2A812787"/>
    <w:rsid w:val="2AA15FE4"/>
    <w:rsid w:val="2AAEEDFA"/>
    <w:rsid w:val="2B121C44"/>
    <w:rsid w:val="2B19BED4"/>
    <w:rsid w:val="2B732947"/>
    <w:rsid w:val="2B92E18B"/>
    <w:rsid w:val="2B96EF0D"/>
    <w:rsid w:val="2BA390F7"/>
    <w:rsid w:val="2C0406FF"/>
    <w:rsid w:val="2C834495"/>
    <w:rsid w:val="2CDCED00"/>
    <w:rsid w:val="2CF2B166"/>
    <w:rsid w:val="2D09815D"/>
    <w:rsid w:val="2D0B1F80"/>
    <w:rsid w:val="2D7FAEBB"/>
    <w:rsid w:val="2E6C288C"/>
    <w:rsid w:val="2E746743"/>
    <w:rsid w:val="2EAFB41F"/>
    <w:rsid w:val="2F308900"/>
    <w:rsid w:val="2F92B6AB"/>
    <w:rsid w:val="2F946D24"/>
    <w:rsid w:val="2FF76C8F"/>
    <w:rsid w:val="302D6363"/>
    <w:rsid w:val="310A8722"/>
    <w:rsid w:val="317C74FE"/>
    <w:rsid w:val="31DF2C80"/>
    <w:rsid w:val="32A65783"/>
    <w:rsid w:val="32C57F60"/>
    <w:rsid w:val="331BB08B"/>
    <w:rsid w:val="3326D884"/>
    <w:rsid w:val="33775605"/>
    <w:rsid w:val="33B36B77"/>
    <w:rsid w:val="33BE6E4D"/>
    <w:rsid w:val="33FAE03C"/>
    <w:rsid w:val="33FD5F10"/>
    <w:rsid w:val="33FFD08C"/>
    <w:rsid w:val="340785F8"/>
    <w:rsid w:val="340944FA"/>
    <w:rsid w:val="341816DA"/>
    <w:rsid w:val="345E5908"/>
    <w:rsid w:val="3479B9E8"/>
    <w:rsid w:val="34B29CFE"/>
    <w:rsid w:val="350808BC"/>
    <w:rsid w:val="3531DF2B"/>
    <w:rsid w:val="354D17FB"/>
    <w:rsid w:val="35517AB1"/>
    <w:rsid w:val="355A45EF"/>
    <w:rsid w:val="35837AF4"/>
    <w:rsid w:val="35C7FF1A"/>
    <w:rsid w:val="360C558A"/>
    <w:rsid w:val="36BEF361"/>
    <w:rsid w:val="374B87CF"/>
    <w:rsid w:val="378F5BB0"/>
    <w:rsid w:val="37A970C6"/>
    <w:rsid w:val="37BEAD1C"/>
    <w:rsid w:val="385D9F51"/>
    <w:rsid w:val="386654C9"/>
    <w:rsid w:val="3916AA8B"/>
    <w:rsid w:val="3966E840"/>
    <w:rsid w:val="398AF20F"/>
    <w:rsid w:val="3995CFB9"/>
    <w:rsid w:val="3A06076F"/>
    <w:rsid w:val="3A0A10A6"/>
    <w:rsid w:val="3A258D1E"/>
    <w:rsid w:val="3ACEE11B"/>
    <w:rsid w:val="3B45CD62"/>
    <w:rsid w:val="3B524200"/>
    <w:rsid w:val="3B624794"/>
    <w:rsid w:val="3C045163"/>
    <w:rsid w:val="3C1B1B1A"/>
    <w:rsid w:val="3C6C6ADD"/>
    <w:rsid w:val="3C9CD2BF"/>
    <w:rsid w:val="3CA48686"/>
    <w:rsid w:val="3CA72471"/>
    <w:rsid w:val="3CE40B9A"/>
    <w:rsid w:val="3D042FC1"/>
    <w:rsid w:val="3D3089B2"/>
    <w:rsid w:val="3D4A18CD"/>
    <w:rsid w:val="3D6953B9"/>
    <w:rsid w:val="3D868E35"/>
    <w:rsid w:val="3D96799E"/>
    <w:rsid w:val="3DBB16C4"/>
    <w:rsid w:val="3DC94FDE"/>
    <w:rsid w:val="3E1FD5D2"/>
    <w:rsid w:val="3E24D303"/>
    <w:rsid w:val="3E4056E7"/>
    <w:rsid w:val="3E465886"/>
    <w:rsid w:val="3E4FE921"/>
    <w:rsid w:val="3E68BC95"/>
    <w:rsid w:val="3E7F1E0B"/>
    <w:rsid w:val="3E9E9F5C"/>
    <w:rsid w:val="3EA6A611"/>
    <w:rsid w:val="3EF1FA0C"/>
    <w:rsid w:val="3EF7FD3F"/>
    <w:rsid w:val="3F5A351B"/>
    <w:rsid w:val="3F7833FB"/>
    <w:rsid w:val="3FDF1DCD"/>
    <w:rsid w:val="40595996"/>
    <w:rsid w:val="407047C5"/>
    <w:rsid w:val="410906FE"/>
    <w:rsid w:val="41553052"/>
    <w:rsid w:val="416DB815"/>
    <w:rsid w:val="41BA3150"/>
    <w:rsid w:val="427CBA89"/>
    <w:rsid w:val="42DEAC55"/>
    <w:rsid w:val="438250CC"/>
    <w:rsid w:val="438FAB33"/>
    <w:rsid w:val="43B63291"/>
    <w:rsid w:val="440F6348"/>
    <w:rsid w:val="4485721B"/>
    <w:rsid w:val="44BB3C22"/>
    <w:rsid w:val="44C7EEED"/>
    <w:rsid w:val="44C8C0C8"/>
    <w:rsid w:val="44FD7544"/>
    <w:rsid w:val="451E74E5"/>
    <w:rsid w:val="45371759"/>
    <w:rsid w:val="46183AB9"/>
    <w:rsid w:val="46649129"/>
    <w:rsid w:val="46CEF40E"/>
    <w:rsid w:val="4716AB0F"/>
    <w:rsid w:val="474E3256"/>
    <w:rsid w:val="4769FE32"/>
    <w:rsid w:val="4774DFD5"/>
    <w:rsid w:val="47750D8B"/>
    <w:rsid w:val="479146D9"/>
    <w:rsid w:val="47A86C83"/>
    <w:rsid w:val="4800618A"/>
    <w:rsid w:val="48D8465E"/>
    <w:rsid w:val="4905CE93"/>
    <w:rsid w:val="49A10847"/>
    <w:rsid w:val="49C058FB"/>
    <w:rsid w:val="49F768A6"/>
    <w:rsid w:val="4A313F19"/>
    <w:rsid w:val="4A54B10C"/>
    <w:rsid w:val="4A5AAFBE"/>
    <w:rsid w:val="4B001A7C"/>
    <w:rsid w:val="4B13CC2B"/>
    <w:rsid w:val="4B4B3599"/>
    <w:rsid w:val="4B6CBFA5"/>
    <w:rsid w:val="4C1FC4A3"/>
    <w:rsid w:val="4C928C9F"/>
    <w:rsid w:val="4C99BBD2"/>
    <w:rsid w:val="4CC5681C"/>
    <w:rsid w:val="4CC5E767"/>
    <w:rsid w:val="4D8639B8"/>
    <w:rsid w:val="4DA16191"/>
    <w:rsid w:val="4DAFC55C"/>
    <w:rsid w:val="4E803A76"/>
    <w:rsid w:val="4E859D58"/>
    <w:rsid w:val="4E8BE328"/>
    <w:rsid w:val="4E9EFE2C"/>
    <w:rsid w:val="4EBD4D60"/>
    <w:rsid w:val="4F099AB0"/>
    <w:rsid w:val="4F353B09"/>
    <w:rsid w:val="4F4F2192"/>
    <w:rsid w:val="4F5BBDC5"/>
    <w:rsid w:val="4F66772E"/>
    <w:rsid w:val="4F6BCF5A"/>
    <w:rsid w:val="4F6BE950"/>
    <w:rsid w:val="4F751017"/>
    <w:rsid w:val="4FD9E660"/>
    <w:rsid w:val="504EA12F"/>
    <w:rsid w:val="5056E15B"/>
    <w:rsid w:val="51078556"/>
    <w:rsid w:val="518C0EF5"/>
    <w:rsid w:val="51A614E0"/>
    <w:rsid w:val="51DCE7DC"/>
    <w:rsid w:val="51ED2C38"/>
    <w:rsid w:val="52545260"/>
    <w:rsid w:val="5283367F"/>
    <w:rsid w:val="5291A437"/>
    <w:rsid w:val="52F6EDEE"/>
    <w:rsid w:val="52FF6086"/>
    <w:rsid w:val="53F43C52"/>
    <w:rsid w:val="541F06E0"/>
    <w:rsid w:val="545D7591"/>
    <w:rsid w:val="552B8B7A"/>
    <w:rsid w:val="556D28B8"/>
    <w:rsid w:val="5596F981"/>
    <w:rsid w:val="55FAA562"/>
    <w:rsid w:val="5624D394"/>
    <w:rsid w:val="5633FD09"/>
    <w:rsid w:val="56532205"/>
    <w:rsid w:val="56B7B66C"/>
    <w:rsid w:val="57554F89"/>
    <w:rsid w:val="5765155A"/>
    <w:rsid w:val="57BD74C7"/>
    <w:rsid w:val="58155664"/>
    <w:rsid w:val="582A7FAA"/>
    <w:rsid w:val="5836D54A"/>
    <w:rsid w:val="583CCF85"/>
    <w:rsid w:val="5843646C"/>
    <w:rsid w:val="5851AE73"/>
    <w:rsid w:val="586C047A"/>
    <w:rsid w:val="587EDA7D"/>
    <w:rsid w:val="58A4C97A"/>
    <w:rsid w:val="58E7A2B8"/>
    <w:rsid w:val="595897F5"/>
    <w:rsid w:val="59C92FCF"/>
    <w:rsid w:val="59E41002"/>
    <w:rsid w:val="5A011C67"/>
    <w:rsid w:val="5A0C9F06"/>
    <w:rsid w:val="5A522EC1"/>
    <w:rsid w:val="5A7A3D94"/>
    <w:rsid w:val="5AB2DBD2"/>
    <w:rsid w:val="5AFE1E95"/>
    <w:rsid w:val="5B10A2CB"/>
    <w:rsid w:val="5B3D59AB"/>
    <w:rsid w:val="5B7103F8"/>
    <w:rsid w:val="5BEDFF22"/>
    <w:rsid w:val="5C726D11"/>
    <w:rsid w:val="5C875BAC"/>
    <w:rsid w:val="5CB8E630"/>
    <w:rsid w:val="5CD10A6E"/>
    <w:rsid w:val="5D6E854F"/>
    <w:rsid w:val="5D948BAA"/>
    <w:rsid w:val="5D949307"/>
    <w:rsid w:val="5D9B00B9"/>
    <w:rsid w:val="5DD0ED28"/>
    <w:rsid w:val="5DF74F40"/>
    <w:rsid w:val="5E52D533"/>
    <w:rsid w:val="5E5BC15E"/>
    <w:rsid w:val="5E84336B"/>
    <w:rsid w:val="5EAD1D95"/>
    <w:rsid w:val="5EDFE06D"/>
    <w:rsid w:val="5F656BE8"/>
    <w:rsid w:val="5F7899F8"/>
    <w:rsid w:val="5F932167"/>
    <w:rsid w:val="5FF712BD"/>
    <w:rsid w:val="60526D65"/>
    <w:rsid w:val="60634611"/>
    <w:rsid w:val="6080669F"/>
    <w:rsid w:val="616AB68C"/>
    <w:rsid w:val="618A75F5"/>
    <w:rsid w:val="61A2FD08"/>
    <w:rsid w:val="620218F7"/>
    <w:rsid w:val="627F8A91"/>
    <w:rsid w:val="62A0E512"/>
    <w:rsid w:val="62B3CF6A"/>
    <w:rsid w:val="630422E7"/>
    <w:rsid w:val="6347FD24"/>
    <w:rsid w:val="6390A911"/>
    <w:rsid w:val="63A02E57"/>
    <w:rsid w:val="63C9684A"/>
    <w:rsid w:val="63D62229"/>
    <w:rsid w:val="641A5079"/>
    <w:rsid w:val="6463571C"/>
    <w:rsid w:val="648490C9"/>
    <w:rsid w:val="64BB84DC"/>
    <w:rsid w:val="64C216B7"/>
    <w:rsid w:val="65077070"/>
    <w:rsid w:val="654E5239"/>
    <w:rsid w:val="656A70C4"/>
    <w:rsid w:val="6580E33A"/>
    <w:rsid w:val="65946E02"/>
    <w:rsid w:val="6639C86E"/>
    <w:rsid w:val="665DE718"/>
    <w:rsid w:val="66BA0359"/>
    <w:rsid w:val="67B1A813"/>
    <w:rsid w:val="68393E52"/>
    <w:rsid w:val="6855D3BA"/>
    <w:rsid w:val="68690693"/>
    <w:rsid w:val="68BDED34"/>
    <w:rsid w:val="69417EBF"/>
    <w:rsid w:val="69BA96F1"/>
    <w:rsid w:val="69CF3815"/>
    <w:rsid w:val="69EC406C"/>
    <w:rsid w:val="6A61E75F"/>
    <w:rsid w:val="6A91C135"/>
    <w:rsid w:val="6B31583B"/>
    <w:rsid w:val="6BF25B35"/>
    <w:rsid w:val="6BF58DF6"/>
    <w:rsid w:val="6C0B8E2A"/>
    <w:rsid w:val="6C8E4E33"/>
    <w:rsid w:val="6CC6EBE3"/>
    <w:rsid w:val="6CE7AF07"/>
    <w:rsid w:val="6D93F7B7"/>
    <w:rsid w:val="6DE2A25D"/>
    <w:rsid w:val="6DFA8890"/>
    <w:rsid w:val="6E29233B"/>
    <w:rsid w:val="6E8FA2A7"/>
    <w:rsid w:val="6F1D4A76"/>
    <w:rsid w:val="6F37A1B9"/>
    <w:rsid w:val="6F4061CD"/>
    <w:rsid w:val="6F5EEEF7"/>
    <w:rsid w:val="6F855982"/>
    <w:rsid w:val="6F9BCBFB"/>
    <w:rsid w:val="6FBCDD5C"/>
    <w:rsid w:val="701E3880"/>
    <w:rsid w:val="70761B15"/>
    <w:rsid w:val="709D0824"/>
    <w:rsid w:val="71011AC2"/>
    <w:rsid w:val="71195DD9"/>
    <w:rsid w:val="719920B6"/>
    <w:rsid w:val="71A88745"/>
    <w:rsid w:val="71D09731"/>
    <w:rsid w:val="72093F9C"/>
    <w:rsid w:val="720DC7C9"/>
    <w:rsid w:val="72128EF6"/>
    <w:rsid w:val="726EE799"/>
    <w:rsid w:val="729958EB"/>
    <w:rsid w:val="729CEB23"/>
    <w:rsid w:val="72AED568"/>
    <w:rsid w:val="72EC7138"/>
    <w:rsid w:val="7300C7B9"/>
    <w:rsid w:val="7318CE4C"/>
    <w:rsid w:val="738E9100"/>
    <w:rsid w:val="74027DA8"/>
    <w:rsid w:val="74B49EAD"/>
    <w:rsid w:val="750837F3"/>
    <w:rsid w:val="75174745"/>
    <w:rsid w:val="75C5286D"/>
    <w:rsid w:val="75D48BE5"/>
    <w:rsid w:val="75F8B2BB"/>
    <w:rsid w:val="761F1043"/>
    <w:rsid w:val="763D8CA5"/>
    <w:rsid w:val="766EAE0D"/>
    <w:rsid w:val="76826728"/>
    <w:rsid w:val="768993B1"/>
    <w:rsid w:val="76D5EE45"/>
    <w:rsid w:val="76DF5B9E"/>
    <w:rsid w:val="77B2B46A"/>
    <w:rsid w:val="77CCF183"/>
    <w:rsid w:val="77D6CDE9"/>
    <w:rsid w:val="77E8084E"/>
    <w:rsid w:val="786FD600"/>
    <w:rsid w:val="78BAE8A1"/>
    <w:rsid w:val="78D3B99D"/>
    <w:rsid w:val="78EAF210"/>
    <w:rsid w:val="79C41A9F"/>
    <w:rsid w:val="7A050BEB"/>
    <w:rsid w:val="7AC737D5"/>
    <w:rsid w:val="7B53DC7E"/>
    <w:rsid w:val="7B77E14A"/>
    <w:rsid w:val="7BAB0CBD"/>
    <w:rsid w:val="7BF21A24"/>
    <w:rsid w:val="7BF28963"/>
    <w:rsid w:val="7C28882E"/>
    <w:rsid w:val="7C590F1A"/>
    <w:rsid w:val="7CC71B42"/>
    <w:rsid w:val="7D077A1B"/>
    <w:rsid w:val="7D0C901B"/>
    <w:rsid w:val="7D231A23"/>
    <w:rsid w:val="7D5CC3B2"/>
    <w:rsid w:val="7DDA4B8D"/>
    <w:rsid w:val="7F4C662E"/>
    <w:rsid w:val="7F5C6B84"/>
    <w:rsid w:val="7F8CB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90BD"/>
  <w15:chartTrackingRefBased/>
  <w15:docId w15:val="{9335855C-46DF-4E07-9DAA-B6AB99D2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4B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34B8A"/>
  </w:style>
  <w:style w:type="character" w:customStyle="1" w:styleId="eop">
    <w:name w:val="eop"/>
    <w:basedOn w:val="DefaultParagraphFont"/>
    <w:rsid w:val="00234B8A"/>
  </w:style>
  <w:style w:type="table" w:styleId="TableGrid">
    <w:name w:val="Table Grid"/>
    <w:basedOn w:val="TableNormal"/>
    <w:uiPriority w:val="39"/>
    <w:rsid w:val="0023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
    <w:basedOn w:val="Normal"/>
    <w:link w:val="ListParagraphChar"/>
    <w:uiPriority w:val="34"/>
    <w:qFormat/>
    <w:rsid w:val="00DC4C7D"/>
    <w:pPr>
      <w:ind w:left="720"/>
      <w:contextualSpacing/>
    </w:pPr>
    <w:rPr>
      <w:kern w:val="0"/>
      <w14:ligatures w14:val="none"/>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qFormat/>
    <w:locked/>
    <w:rsid w:val="00DC4C7D"/>
    <w:rPr>
      <w:kern w:val="0"/>
      <w14:ligatures w14:val="none"/>
    </w:rPr>
  </w:style>
  <w:style w:type="paragraph" w:styleId="Header">
    <w:name w:val="header"/>
    <w:basedOn w:val="Normal"/>
    <w:link w:val="HeaderChar"/>
    <w:uiPriority w:val="99"/>
    <w:unhideWhenUsed/>
    <w:rsid w:val="00596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173"/>
  </w:style>
  <w:style w:type="paragraph" w:styleId="Footer">
    <w:name w:val="footer"/>
    <w:basedOn w:val="Normal"/>
    <w:link w:val="FooterChar"/>
    <w:uiPriority w:val="99"/>
    <w:unhideWhenUsed/>
    <w:rsid w:val="00596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173"/>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56038">
      <w:bodyDiv w:val="1"/>
      <w:marLeft w:val="0"/>
      <w:marRight w:val="0"/>
      <w:marTop w:val="0"/>
      <w:marBottom w:val="0"/>
      <w:divBdr>
        <w:top w:val="none" w:sz="0" w:space="0" w:color="auto"/>
        <w:left w:val="none" w:sz="0" w:space="0" w:color="auto"/>
        <w:bottom w:val="none" w:sz="0" w:space="0" w:color="auto"/>
        <w:right w:val="none" w:sz="0" w:space="0" w:color="auto"/>
      </w:divBdr>
      <w:divsChild>
        <w:div w:id="31851058">
          <w:marLeft w:val="0"/>
          <w:marRight w:val="0"/>
          <w:marTop w:val="0"/>
          <w:marBottom w:val="0"/>
          <w:divBdr>
            <w:top w:val="none" w:sz="0" w:space="0" w:color="auto"/>
            <w:left w:val="none" w:sz="0" w:space="0" w:color="auto"/>
            <w:bottom w:val="none" w:sz="0" w:space="0" w:color="auto"/>
            <w:right w:val="none" w:sz="0" w:space="0" w:color="auto"/>
          </w:divBdr>
        </w:div>
        <w:div w:id="128715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3da0d0-0063-4f8b-bfaf-f25e794fdb5a">
      <Terms xmlns="http://schemas.microsoft.com/office/infopath/2007/PartnerControls"/>
    </lcf76f155ced4ddcb4097134ff3c332f>
    <TaxCatchAll xmlns="cc30ca37-e3c0-4bf5-9484-1668ea32fa08" xsi:nil="true"/>
    <SharedWithUsers xmlns="cc30ca37-e3c0-4bf5-9484-1668ea32fa08">
      <UserInfo>
        <DisplayName>Louise Beattie</DisplayName>
        <AccountId>73</AccountId>
        <AccountType/>
      </UserInfo>
      <UserInfo>
        <DisplayName>Suzanne Lawson</DisplayName>
        <AccountId>15</AccountId>
        <AccountType/>
      </UserInfo>
      <UserInfo>
        <DisplayName>Claire Rowlands</DisplayName>
        <AccountId>161</AccountId>
        <AccountType/>
      </UserInfo>
    </SharedWithUsers>
    <Notes xmlns="eb3da0d0-0063-4f8b-bfaf-f25e794fdb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7ABB9A6284B34BACEA1F4FF5BB82B5" ma:contentTypeVersion="14" ma:contentTypeDescription="Create a new document." ma:contentTypeScope="" ma:versionID="a62ef61af03114d980c87b22a034f2b0">
  <xsd:schema xmlns:xsd="http://www.w3.org/2001/XMLSchema" xmlns:xs="http://www.w3.org/2001/XMLSchema" xmlns:p="http://schemas.microsoft.com/office/2006/metadata/properties" xmlns:ns2="cc30ca37-e3c0-4bf5-9484-1668ea32fa08" xmlns:ns3="eb3da0d0-0063-4f8b-bfaf-f25e794fdb5a" targetNamespace="http://schemas.microsoft.com/office/2006/metadata/properties" ma:root="true" ma:fieldsID="07dcf4eabb843c51d8174e9921b02680" ns2:_="" ns3:_="">
    <xsd:import namespace="cc30ca37-e3c0-4bf5-9484-1668ea32fa08"/>
    <xsd:import namespace="eb3da0d0-0063-4f8b-bfaf-f25e794fdb5a"/>
    <xsd:element name="properties">
      <xsd:complexType>
        <xsd:sequence>
          <xsd:element name="documentManagement">
            <xsd:complexType>
              <xsd:all>
                <xsd:element ref="ns2:SharedWithUsers" minOccurs="0"/>
                <xsd:element ref="ns2:SharedWithDetails" minOccurs="0"/>
                <xsd:element ref="ns3:Note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0ca37-e3c0-4bf5-9484-1668ea32fa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6dce42-9248-4531-8a3f-c9bb9d7bf778}" ma:internalName="TaxCatchAll" ma:showField="CatchAllData" ma:web="cc30ca37-e3c0-4bf5-9484-1668ea32fa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3da0d0-0063-4f8b-bfaf-f25e794fdb5a" elementFormDefault="qualified">
    <xsd:import namespace="http://schemas.microsoft.com/office/2006/documentManagement/types"/>
    <xsd:import namespace="http://schemas.microsoft.com/office/infopath/2007/PartnerControls"/>
    <xsd:element name="Notes" ma:index="10" nillable="true" ma:displayName="Notes" ma:description="Annotations about files and folder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9D7E5-736D-4383-837F-B573584E6A8E}">
  <ds:schemaRefs>
    <ds:schemaRef ds:uri="http://schemas.openxmlformats.org/officeDocument/2006/bibliography"/>
  </ds:schemaRefs>
</ds:datastoreItem>
</file>

<file path=customXml/itemProps2.xml><?xml version="1.0" encoding="utf-8"?>
<ds:datastoreItem xmlns:ds="http://schemas.openxmlformats.org/officeDocument/2006/customXml" ds:itemID="{1B245599-C012-427E-BEEB-C71E62C34B72}">
  <ds:schemaRefs>
    <ds:schemaRef ds:uri="http://schemas.microsoft.com/office/2006/metadata/properties"/>
    <ds:schemaRef ds:uri="http://schemas.microsoft.com/office/infopath/2007/PartnerControls"/>
    <ds:schemaRef ds:uri="eb3da0d0-0063-4f8b-bfaf-f25e794fdb5a"/>
    <ds:schemaRef ds:uri="cc30ca37-e3c0-4bf5-9484-1668ea32fa08"/>
  </ds:schemaRefs>
</ds:datastoreItem>
</file>

<file path=customXml/itemProps3.xml><?xml version="1.0" encoding="utf-8"?>
<ds:datastoreItem xmlns:ds="http://schemas.openxmlformats.org/officeDocument/2006/customXml" ds:itemID="{04DE8F35-DDA9-4D03-824C-9F2FDFE87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0ca37-e3c0-4bf5-9484-1668ea32fa08"/>
    <ds:schemaRef ds:uri="eb3da0d0-0063-4f8b-bfaf-f25e794f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F5A7B-F2F7-4700-B010-CD963FB0A235}">
  <ds:schemaRefs>
    <ds:schemaRef ds:uri="http://schemas.microsoft.com/sharepoint/v3/contenttype/forms"/>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ITAP3 Assessment for Impact Practice-able Strateiges</dc:title>
  <dc:subject>
  </dc:subject>
  <dc:creator>Louise Beattie</dc:creator>
  <cp:keywords>
  </cp:keywords>
  <dc:description>
  </dc:description>
  <cp:lastModifiedBy>Ellie Dart</cp:lastModifiedBy>
  <cp:revision>2</cp:revision>
  <cp:lastPrinted>2023-11-29T03:41:00Z</cp:lastPrinted>
  <dcterms:created xsi:type="dcterms:W3CDTF">2025-09-08T13:55:00Z</dcterms:created>
  <dcterms:modified xsi:type="dcterms:W3CDTF">2025-09-08T13:59:50Z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0x0101007A7ABB9A6284B34BACEA1F4FF5BB82B5</vt:lpwstr>
  </property>
  <property fmtid="{D5CDD505-2E9C-101B-9397-08002B2CF9AE}" pid="3" name="MediaServiceImageTags">
    <vt:lpwstr/>
  </property>
  <property fmtid="{D5CDD505-2E9C-101B-9397-08002B2CF9AE}" pid="4" name="Order">
    <vt:r8>103194300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