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37" w:rsidRDefault="0034166F">
      <w:r>
        <w:rPr>
          <w:noProof/>
          <w:sz w:val="20"/>
          <w:szCs w:val="20"/>
          <w:lang w:eastAsia="en-GB"/>
        </w:rPr>
        <w:drawing>
          <wp:inline distT="0" distB="0" distL="0" distR="0" wp14:anchorId="5EF112B6" wp14:editId="6167B0EC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FB" w:rsidRDefault="003429FB"/>
    <w:p w:rsidR="003429FB" w:rsidRPr="00F87FDD" w:rsidRDefault="003429FB" w:rsidP="003429FB">
      <w:pPr>
        <w:rPr>
          <w:rFonts w:ascii="Arial" w:hAnsi="Arial" w:cs="Arial"/>
          <w:b/>
          <w:sz w:val="22"/>
        </w:rPr>
      </w:pPr>
      <w:r w:rsidRPr="00F87FDD">
        <w:rPr>
          <w:rFonts w:ascii="Arial" w:hAnsi="Arial" w:cs="Arial"/>
          <w:b/>
          <w:sz w:val="22"/>
        </w:rPr>
        <w:t>Evaluation and Development Document</w:t>
      </w:r>
    </w:p>
    <w:p w:rsidR="003429FB" w:rsidRPr="00F87FDD" w:rsidRDefault="003429FB" w:rsidP="003429FB">
      <w:pPr>
        <w:rPr>
          <w:rFonts w:ascii="Arial" w:hAnsi="Arial" w:cs="Arial"/>
          <w:b/>
          <w:sz w:val="22"/>
        </w:rPr>
      </w:pPr>
    </w:p>
    <w:p w:rsidR="003429FB" w:rsidRDefault="003429FB" w:rsidP="00FF48F6">
      <w:pPr>
        <w:tabs>
          <w:tab w:val="left" w:pos="426"/>
        </w:tabs>
        <w:rPr>
          <w:rFonts w:ascii="Arial" w:hAnsi="Arial" w:cs="Arial"/>
          <w:b/>
          <w:sz w:val="22"/>
        </w:rPr>
      </w:pPr>
      <w:r w:rsidRPr="00F87FDD">
        <w:rPr>
          <w:rFonts w:ascii="Arial" w:hAnsi="Arial" w:cs="Arial"/>
          <w:b/>
          <w:sz w:val="22"/>
        </w:rPr>
        <w:t xml:space="preserve">1  </w:t>
      </w:r>
      <w:r w:rsidRPr="00F87FDD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Information about the Department to include </w:t>
      </w:r>
    </w:p>
    <w:p w:rsidR="004E7DA3" w:rsidRPr="00F87FDD" w:rsidRDefault="004E7DA3" w:rsidP="004E7DA3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The purpose of this section is to provide context for the Review Panel.</w:t>
      </w:r>
    </w:p>
    <w:p w:rsidR="003429FB" w:rsidRDefault="003429FB" w:rsidP="003429FB">
      <w:pPr>
        <w:rPr>
          <w:rFonts w:ascii="Arial" w:hAnsi="Arial" w:cs="Arial"/>
          <w:b/>
          <w:sz w:val="22"/>
        </w:rPr>
      </w:pPr>
    </w:p>
    <w:p w:rsidR="00252DA4" w:rsidRDefault="00252DA4" w:rsidP="00FF48F6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Brief overview to provide context for the Review Panel, </w:t>
      </w:r>
      <w:proofErr w:type="spellStart"/>
      <w:r>
        <w:rPr>
          <w:rFonts w:ascii="Arial" w:hAnsi="Arial" w:cs="Arial"/>
          <w:sz w:val="22"/>
        </w:rPr>
        <w:t>eg</w:t>
      </w:r>
      <w:proofErr w:type="spellEnd"/>
      <w:r>
        <w:rPr>
          <w:rFonts w:ascii="Arial" w:hAnsi="Arial" w:cs="Arial"/>
          <w:sz w:val="22"/>
        </w:rPr>
        <w:t xml:space="preserve"> size (students and staff), nature of courses, distinctive fe</w:t>
      </w:r>
      <w:r w:rsidR="00777785">
        <w:rPr>
          <w:rFonts w:ascii="Arial" w:hAnsi="Arial" w:cs="Arial"/>
          <w:sz w:val="22"/>
        </w:rPr>
        <w:t xml:space="preserve">atures, </w:t>
      </w:r>
      <w:r>
        <w:rPr>
          <w:rFonts w:ascii="Arial" w:hAnsi="Arial" w:cs="Arial"/>
          <w:sz w:val="22"/>
        </w:rPr>
        <w:t xml:space="preserve">place within </w:t>
      </w:r>
      <w:r w:rsidR="00D02721">
        <w:rPr>
          <w:rFonts w:ascii="Arial" w:hAnsi="Arial" w:cs="Arial"/>
          <w:sz w:val="22"/>
        </w:rPr>
        <w:t>School</w:t>
      </w:r>
      <w:bookmarkStart w:id="0" w:name="_GoBack"/>
      <w:bookmarkEnd w:id="0"/>
    </w:p>
    <w:p w:rsidR="003429FB" w:rsidRPr="003429FB" w:rsidRDefault="003429FB" w:rsidP="00FF48F6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sz w:val="22"/>
        </w:rPr>
      </w:pPr>
      <w:r w:rsidRPr="003429FB">
        <w:rPr>
          <w:rFonts w:ascii="Arial" w:hAnsi="Arial" w:cs="Arial"/>
          <w:sz w:val="22"/>
        </w:rPr>
        <w:t xml:space="preserve">List of </w:t>
      </w:r>
      <w:r w:rsidR="0034166F">
        <w:rPr>
          <w:rFonts w:ascii="Arial" w:hAnsi="Arial" w:cs="Arial"/>
          <w:sz w:val="22"/>
        </w:rPr>
        <w:t>c</w:t>
      </w:r>
      <w:r w:rsidRPr="003429FB">
        <w:rPr>
          <w:rFonts w:ascii="Arial" w:hAnsi="Arial" w:cs="Arial"/>
          <w:sz w:val="22"/>
        </w:rPr>
        <w:t>ourse</w:t>
      </w:r>
      <w:r w:rsidR="00AC24C5">
        <w:rPr>
          <w:rFonts w:ascii="Arial" w:hAnsi="Arial" w:cs="Arial"/>
          <w:sz w:val="22"/>
        </w:rPr>
        <w:t xml:space="preserve">s and award titles </w:t>
      </w:r>
      <w:r w:rsidRPr="003429FB">
        <w:rPr>
          <w:rFonts w:ascii="Arial" w:hAnsi="Arial" w:cs="Arial"/>
          <w:sz w:val="22"/>
        </w:rPr>
        <w:t xml:space="preserve">with current student </w:t>
      </w:r>
      <w:r>
        <w:rPr>
          <w:rFonts w:ascii="Arial" w:hAnsi="Arial" w:cs="Arial"/>
          <w:sz w:val="22"/>
        </w:rPr>
        <w:t>numbers for each year of course, indicating any course accredited or endorsed by PSRBs</w:t>
      </w:r>
    </w:p>
    <w:p w:rsidR="003429FB" w:rsidRPr="003429FB" w:rsidRDefault="003429FB" w:rsidP="00FF48F6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sz w:val="22"/>
        </w:rPr>
      </w:pPr>
      <w:r w:rsidRPr="003429FB">
        <w:rPr>
          <w:rFonts w:ascii="Arial" w:hAnsi="Arial" w:cs="Arial"/>
          <w:sz w:val="22"/>
        </w:rPr>
        <w:t>Organisational structure</w:t>
      </w:r>
    </w:p>
    <w:p w:rsidR="003429FB" w:rsidRDefault="003429FB" w:rsidP="00FF48F6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sz w:val="22"/>
        </w:rPr>
      </w:pPr>
      <w:r w:rsidRPr="003429FB">
        <w:rPr>
          <w:rFonts w:ascii="Arial" w:hAnsi="Arial" w:cs="Arial"/>
          <w:sz w:val="22"/>
        </w:rPr>
        <w:t>Staff list and qualifications, including teaching qualifications and HEA recognition</w:t>
      </w:r>
    </w:p>
    <w:p w:rsidR="00252DA4" w:rsidRDefault="00252DA4" w:rsidP="00FF48F6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Quality standing of the Department, citing any appropriate indicators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</w:p>
    <w:p w:rsidR="00777785" w:rsidRDefault="00777785" w:rsidP="00FF48F6">
      <w:pPr>
        <w:pStyle w:val="ListParagraph"/>
        <w:numPr>
          <w:ilvl w:val="0"/>
          <w:numId w:val="3"/>
        </w:numPr>
        <w:ind w:hanging="2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future development priorities</w:t>
      </w:r>
      <w:r w:rsidR="00875960">
        <w:rPr>
          <w:rFonts w:ascii="Arial" w:hAnsi="Arial" w:cs="Arial"/>
          <w:sz w:val="22"/>
        </w:rPr>
        <w:t>.</w:t>
      </w:r>
    </w:p>
    <w:p w:rsidR="003429FB" w:rsidRPr="00F87FDD" w:rsidRDefault="003429FB" w:rsidP="003429FB">
      <w:pPr>
        <w:rPr>
          <w:rFonts w:ascii="Arial" w:hAnsi="Arial" w:cs="Arial"/>
          <w:sz w:val="22"/>
        </w:rPr>
      </w:pPr>
    </w:p>
    <w:p w:rsidR="00777785" w:rsidRDefault="00FF48F6" w:rsidP="00FF48F6">
      <w:p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ab/>
      </w:r>
      <w:r w:rsidR="00777785">
        <w:rPr>
          <w:rFonts w:ascii="Arial" w:hAnsi="Arial" w:cs="Arial"/>
          <w:b/>
          <w:sz w:val="22"/>
        </w:rPr>
        <w:t xml:space="preserve">Academic standards </w:t>
      </w:r>
      <w:r w:rsidR="00180D97">
        <w:rPr>
          <w:rFonts w:ascii="Arial" w:hAnsi="Arial" w:cs="Arial"/>
          <w:b/>
          <w:sz w:val="22"/>
        </w:rPr>
        <w:t xml:space="preserve">and quality management </w:t>
      </w:r>
      <w:r w:rsidR="00777785">
        <w:rPr>
          <w:rFonts w:ascii="Arial" w:hAnsi="Arial" w:cs="Arial"/>
          <w:b/>
          <w:sz w:val="22"/>
        </w:rPr>
        <w:t xml:space="preserve">to include </w:t>
      </w:r>
    </w:p>
    <w:p w:rsidR="004E7DA3" w:rsidRPr="00777785" w:rsidRDefault="004E7DA3" w:rsidP="004E7DA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The purpose of this section is to provide an overview of how the Department carries out its responsibilities in relation to the management of academic standards and quality management.</w:t>
      </w:r>
    </w:p>
    <w:p w:rsidR="00777785" w:rsidRDefault="00777785" w:rsidP="003429FB">
      <w:pPr>
        <w:ind w:left="360" w:hanging="360"/>
        <w:rPr>
          <w:rFonts w:ascii="Arial" w:hAnsi="Arial" w:cs="Arial"/>
          <w:b/>
          <w:sz w:val="22"/>
        </w:rPr>
      </w:pPr>
    </w:p>
    <w:p w:rsidR="00777785" w:rsidRPr="001001C3" w:rsidRDefault="0034166F" w:rsidP="00FF48F6">
      <w:pPr>
        <w:pStyle w:val="ListParagraph"/>
        <w:numPr>
          <w:ilvl w:val="0"/>
          <w:numId w:val="10"/>
        </w:numPr>
        <w:ind w:hanging="2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the D</w:t>
      </w:r>
      <w:r w:rsidR="00777785" w:rsidRPr="001001C3">
        <w:rPr>
          <w:rFonts w:ascii="Arial" w:hAnsi="Arial" w:cs="Arial"/>
          <w:sz w:val="22"/>
        </w:rPr>
        <w:t>epartment sets and maintains the academic standards and ensures the currency of its courses</w:t>
      </w:r>
      <w:r w:rsidR="00B97F6C">
        <w:rPr>
          <w:rFonts w:ascii="Arial" w:hAnsi="Arial" w:cs="Arial"/>
          <w:sz w:val="22"/>
        </w:rPr>
        <w:t xml:space="preserve"> (with due consideration of subject and PSRB benchmarks </w:t>
      </w:r>
      <w:proofErr w:type="spellStart"/>
      <w:r w:rsidR="00B97F6C">
        <w:rPr>
          <w:rFonts w:ascii="Arial" w:hAnsi="Arial" w:cs="Arial"/>
          <w:sz w:val="22"/>
        </w:rPr>
        <w:t>etc</w:t>
      </w:r>
      <w:proofErr w:type="spellEnd"/>
      <w:r w:rsidR="00B97F6C">
        <w:rPr>
          <w:rFonts w:ascii="Arial" w:hAnsi="Arial" w:cs="Arial"/>
          <w:sz w:val="22"/>
        </w:rPr>
        <w:t>)</w:t>
      </w:r>
      <w:r w:rsidR="00777785" w:rsidRPr="001001C3">
        <w:rPr>
          <w:rFonts w:ascii="Arial" w:hAnsi="Arial" w:cs="Arial"/>
          <w:sz w:val="22"/>
        </w:rPr>
        <w:t xml:space="preserve">, indicating any significant changes since the last periodic review and/or plans for the future </w:t>
      </w:r>
    </w:p>
    <w:p w:rsidR="00777785" w:rsidRPr="00180D97" w:rsidRDefault="00777785" w:rsidP="00FF48F6">
      <w:pPr>
        <w:pStyle w:val="ListParagraph"/>
        <w:numPr>
          <w:ilvl w:val="0"/>
          <w:numId w:val="10"/>
        </w:numPr>
        <w:ind w:hanging="294"/>
        <w:rPr>
          <w:rFonts w:ascii="Arial" w:hAnsi="Arial" w:cs="Arial"/>
          <w:b/>
          <w:sz w:val="22"/>
        </w:rPr>
      </w:pPr>
      <w:r w:rsidRPr="001001C3">
        <w:rPr>
          <w:rFonts w:ascii="Arial" w:hAnsi="Arial" w:cs="Arial"/>
          <w:sz w:val="22"/>
        </w:rPr>
        <w:t>Overview of feedback from external examiners, PSRBs and employers indicating how the Department has addressed any issues identified</w:t>
      </w:r>
    </w:p>
    <w:p w:rsidR="00180D97" w:rsidRPr="001001C3" w:rsidRDefault="00FF48F6" w:rsidP="00FF48F6">
      <w:pPr>
        <w:pStyle w:val="ListParagraph"/>
        <w:numPr>
          <w:ilvl w:val="0"/>
          <w:numId w:val="10"/>
        </w:numPr>
        <w:ind w:hanging="294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How the D</w:t>
      </w:r>
      <w:r w:rsidR="00180D97">
        <w:rPr>
          <w:rFonts w:ascii="Arial" w:hAnsi="Arial" w:cs="Arial"/>
          <w:sz w:val="22"/>
        </w:rPr>
        <w:t xml:space="preserve">epartment engages with quality management and enhancement processes, including </w:t>
      </w:r>
      <w:r w:rsidR="00B97F6C">
        <w:rPr>
          <w:rFonts w:ascii="Arial" w:hAnsi="Arial" w:cs="Arial"/>
          <w:sz w:val="22"/>
        </w:rPr>
        <w:t xml:space="preserve">achieving strong survey and </w:t>
      </w:r>
      <w:proofErr w:type="gramStart"/>
      <w:r w:rsidR="00B97F6C">
        <w:rPr>
          <w:rFonts w:ascii="Arial" w:hAnsi="Arial" w:cs="Arial"/>
          <w:sz w:val="22"/>
        </w:rPr>
        <w:t>module evaluation response rates</w:t>
      </w:r>
      <w:proofErr w:type="gramEnd"/>
      <w:r w:rsidR="00B97F6C">
        <w:rPr>
          <w:rFonts w:ascii="Arial" w:hAnsi="Arial" w:cs="Arial"/>
          <w:sz w:val="22"/>
        </w:rPr>
        <w:t>, and is pro-active in identifying enhancement priorities through annual evaluation</w:t>
      </w:r>
      <w:r w:rsidR="00875960">
        <w:rPr>
          <w:rFonts w:ascii="Arial" w:hAnsi="Arial" w:cs="Arial"/>
          <w:sz w:val="22"/>
        </w:rPr>
        <w:t>.</w:t>
      </w:r>
      <w:r w:rsidR="00B97F6C">
        <w:rPr>
          <w:rFonts w:ascii="Arial" w:hAnsi="Arial" w:cs="Arial"/>
          <w:sz w:val="22"/>
        </w:rPr>
        <w:t xml:space="preserve"> </w:t>
      </w:r>
    </w:p>
    <w:p w:rsidR="00777785" w:rsidRDefault="00777785" w:rsidP="003429FB">
      <w:pPr>
        <w:ind w:left="360" w:hanging="360"/>
        <w:rPr>
          <w:rFonts w:ascii="Arial" w:hAnsi="Arial" w:cs="Arial"/>
          <w:b/>
          <w:sz w:val="22"/>
        </w:rPr>
      </w:pPr>
    </w:p>
    <w:p w:rsidR="00300653" w:rsidRDefault="00777785" w:rsidP="00FF48F6">
      <w:p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ab/>
      </w:r>
      <w:r w:rsidR="00300653">
        <w:rPr>
          <w:rFonts w:ascii="Arial" w:hAnsi="Arial" w:cs="Arial"/>
          <w:b/>
          <w:sz w:val="22"/>
        </w:rPr>
        <w:t>Partnerships and collaborative programmes</w:t>
      </w:r>
      <w:r w:rsidR="0039379B">
        <w:rPr>
          <w:rFonts w:ascii="Arial" w:hAnsi="Arial" w:cs="Arial"/>
          <w:b/>
          <w:sz w:val="22"/>
        </w:rPr>
        <w:t xml:space="preserve"> to include </w:t>
      </w:r>
    </w:p>
    <w:p w:rsidR="004E7DA3" w:rsidRPr="0039379B" w:rsidRDefault="004E7DA3" w:rsidP="004E7DA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The purpose of this section is to provide an overview and assessment of the Department’s responsibilities for the management of academic collaborations.</w:t>
      </w:r>
    </w:p>
    <w:p w:rsidR="00AC24C5" w:rsidRDefault="00AC24C5" w:rsidP="003429FB">
      <w:pPr>
        <w:ind w:left="360" w:hanging="360"/>
        <w:rPr>
          <w:rFonts w:ascii="Arial" w:hAnsi="Arial" w:cs="Arial"/>
          <w:b/>
          <w:sz w:val="22"/>
        </w:rPr>
      </w:pPr>
    </w:p>
    <w:p w:rsidR="00AC24C5" w:rsidRDefault="00AC24C5" w:rsidP="00FF48F6">
      <w:pPr>
        <w:pStyle w:val="ListParagraph"/>
        <w:numPr>
          <w:ilvl w:val="0"/>
          <w:numId w:val="9"/>
        </w:numPr>
        <w:ind w:hanging="294"/>
        <w:rPr>
          <w:rFonts w:ascii="Arial" w:hAnsi="Arial" w:cs="Arial"/>
          <w:sz w:val="22"/>
        </w:rPr>
      </w:pPr>
      <w:r w:rsidRPr="00AC24C5">
        <w:rPr>
          <w:rFonts w:ascii="Arial" w:hAnsi="Arial" w:cs="Arial"/>
          <w:sz w:val="22"/>
        </w:rPr>
        <w:t xml:space="preserve">List of all collaborative courses </w:t>
      </w:r>
      <w:r>
        <w:rPr>
          <w:rFonts w:ascii="Arial" w:hAnsi="Arial" w:cs="Arial"/>
          <w:sz w:val="22"/>
        </w:rPr>
        <w:t xml:space="preserve">and arrangements </w:t>
      </w:r>
      <w:r w:rsidRPr="00AC24C5">
        <w:rPr>
          <w:rFonts w:ascii="Arial" w:hAnsi="Arial" w:cs="Arial"/>
          <w:sz w:val="22"/>
        </w:rPr>
        <w:t>by partner</w:t>
      </w:r>
      <w:r w:rsidR="00FF48F6">
        <w:rPr>
          <w:rFonts w:ascii="Arial" w:hAnsi="Arial" w:cs="Arial"/>
          <w:sz w:val="22"/>
        </w:rPr>
        <w:t>,</w:t>
      </w:r>
      <w:r w:rsidRPr="00AC24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indicating type (</w:t>
      </w:r>
      <w:proofErr w:type="spellStart"/>
      <w:r>
        <w:rPr>
          <w:rFonts w:ascii="Arial" w:hAnsi="Arial" w:cs="Arial"/>
          <w:sz w:val="22"/>
        </w:rPr>
        <w:t>eg</w:t>
      </w:r>
      <w:proofErr w:type="spellEnd"/>
      <w:r>
        <w:rPr>
          <w:rFonts w:ascii="Arial" w:hAnsi="Arial" w:cs="Arial"/>
          <w:sz w:val="22"/>
        </w:rPr>
        <w:t xml:space="preserve"> validated, franchised, dual award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  <w:r>
        <w:rPr>
          <w:rFonts w:ascii="Arial" w:hAnsi="Arial" w:cs="Arial"/>
          <w:sz w:val="22"/>
        </w:rPr>
        <w:t xml:space="preserve">) </w:t>
      </w:r>
      <w:r w:rsidRPr="00493FFD">
        <w:rPr>
          <w:rFonts w:ascii="Arial" w:hAnsi="Arial" w:cs="Arial"/>
          <w:sz w:val="22"/>
        </w:rPr>
        <w:t>showing current student numbers for year of course, and where</w:t>
      </w:r>
      <w:r w:rsidR="00FF48F6" w:rsidRPr="00493FFD">
        <w:rPr>
          <w:rFonts w:ascii="Arial" w:hAnsi="Arial" w:cs="Arial"/>
          <w:sz w:val="22"/>
        </w:rPr>
        <w:t xml:space="preserve"> there is </w:t>
      </w:r>
      <w:r w:rsidRPr="00493FFD">
        <w:rPr>
          <w:rFonts w:ascii="Arial" w:hAnsi="Arial" w:cs="Arial"/>
          <w:sz w:val="22"/>
        </w:rPr>
        <w:t>possible progression</w:t>
      </w:r>
      <w:r w:rsidRPr="00AC24C5">
        <w:rPr>
          <w:rFonts w:ascii="Arial" w:hAnsi="Arial" w:cs="Arial"/>
          <w:sz w:val="22"/>
        </w:rPr>
        <w:t xml:space="preserve"> to UW top-up</w:t>
      </w:r>
    </w:p>
    <w:p w:rsidR="00AC24C5" w:rsidRDefault="00AC24C5" w:rsidP="00FF48F6">
      <w:pPr>
        <w:pStyle w:val="ListParagraph"/>
        <w:numPr>
          <w:ilvl w:val="0"/>
          <w:numId w:val="9"/>
        </w:numPr>
        <w:ind w:hanging="2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300653" w:rsidRPr="00AC24C5">
        <w:rPr>
          <w:rFonts w:ascii="Arial" w:hAnsi="Arial" w:cs="Arial"/>
          <w:sz w:val="22"/>
        </w:rPr>
        <w:t>rief</w:t>
      </w:r>
      <w:r w:rsidR="00FF48F6">
        <w:rPr>
          <w:rFonts w:ascii="Arial" w:hAnsi="Arial" w:cs="Arial"/>
          <w:sz w:val="22"/>
        </w:rPr>
        <w:t xml:space="preserve"> evaluative account of how the D</w:t>
      </w:r>
      <w:r w:rsidR="00300653" w:rsidRPr="00AC24C5">
        <w:rPr>
          <w:rFonts w:ascii="Arial" w:hAnsi="Arial" w:cs="Arial"/>
          <w:sz w:val="22"/>
        </w:rPr>
        <w:t xml:space="preserve">epartment manages risk in relationship to collaborative programmes and partnerships, drawing on track record </w:t>
      </w:r>
      <w:r w:rsidR="00F262B7" w:rsidRPr="00AC24C5">
        <w:rPr>
          <w:rFonts w:ascii="Arial" w:hAnsi="Arial" w:cs="Arial"/>
          <w:sz w:val="22"/>
        </w:rPr>
        <w:t>in relation to</w:t>
      </w:r>
      <w:r w:rsidR="00FF48F6">
        <w:rPr>
          <w:rFonts w:ascii="Arial" w:hAnsi="Arial" w:cs="Arial"/>
          <w:sz w:val="22"/>
        </w:rPr>
        <w:t>, for example,</w:t>
      </w:r>
      <w:r w:rsidR="00C07579" w:rsidRPr="00AC24C5">
        <w:rPr>
          <w:rFonts w:ascii="Arial" w:hAnsi="Arial" w:cs="Arial"/>
          <w:sz w:val="22"/>
        </w:rPr>
        <w:t xml:space="preserve"> recruitment, progression to UW and general academic quality mat</w:t>
      </w:r>
      <w:r>
        <w:rPr>
          <w:rFonts w:ascii="Arial" w:hAnsi="Arial" w:cs="Arial"/>
          <w:sz w:val="22"/>
        </w:rPr>
        <w:t xml:space="preserve">ters </w:t>
      </w:r>
    </w:p>
    <w:p w:rsidR="00300653" w:rsidRPr="00AC24C5" w:rsidRDefault="00AC24C5" w:rsidP="00FF48F6">
      <w:pPr>
        <w:pStyle w:val="ListParagraph"/>
        <w:numPr>
          <w:ilvl w:val="0"/>
          <w:numId w:val="9"/>
        </w:numPr>
        <w:ind w:hanging="2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300653" w:rsidRPr="00AC24C5">
        <w:rPr>
          <w:rFonts w:ascii="Arial" w:hAnsi="Arial" w:cs="Arial"/>
          <w:sz w:val="22"/>
        </w:rPr>
        <w:t xml:space="preserve">ny specific strengths, weaknesses, opportunities or threats </w:t>
      </w:r>
      <w:r>
        <w:rPr>
          <w:rFonts w:ascii="Arial" w:hAnsi="Arial" w:cs="Arial"/>
          <w:sz w:val="22"/>
        </w:rPr>
        <w:t>in relation to collaborative partnerships</w:t>
      </w:r>
      <w:r w:rsidR="00875960">
        <w:rPr>
          <w:rFonts w:ascii="Arial" w:hAnsi="Arial" w:cs="Arial"/>
          <w:sz w:val="22"/>
        </w:rPr>
        <w:t>.</w:t>
      </w:r>
      <w:r w:rsidR="003429FB" w:rsidRPr="00AC24C5">
        <w:rPr>
          <w:rFonts w:ascii="Arial" w:hAnsi="Arial" w:cs="Arial"/>
          <w:sz w:val="22"/>
        </w:rPr>
        <w:tab/>
      </w:r>
    </w:p>
    <w:p w:rsidR="00300653" w:rsidRDefault="00300653" w:rsidP="003429FB">
      <w:pPr>
        <w:ind w:left="360" w:hanging="360"/>
        <w:rPr>
          <w:rFonts w:ascii="Arial" w:hAnsi="Arial" w:cs="Arial"/>
          <w:b/>
          <w:sz w:val="22"/>
        </w:rPr>
      </w:pPr>
    </w:p>
    <w:p w:rsidR="003429FB" w:rsidRPr="00AD6578" w:rsidRDefault="00FF48F6" w:rsidP="00AD6578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4</w:t>
      </w:r>
      <w:r w:rsidR="00300653">
        <w:rPr>
          <w:rFonts w:ascii="Arial" w:hAnsi="Arial" w:cs="Arial"/>
          <w:b/>
          <w:sz w:val="22"/>
        </w:rPr>
        <w:tab/>
      </w:r>
      <w:r w:rsidR="003429FB" w:rsidRPr="00F87FDD">
        <w:rPr>
          <w:rFonts w:ascii="Arial" w:hAnsi="Arial" w:cs="Arial"/>
          <w:b/>
          <w:sz w:val="22"/>
        </w:rPr>
        <w:t xml:space="preserve">Evaluative commentary (drawing on relevant evidence) in relation to </w:t>
      </w:r>
      <w:r w:rsidR="00300653">
        <w:rPr>
          <w:rFonts w:ascii="Arial" w:hAnsi="Arial" w:cs="Arial"/>
          <w:b/>
          <w:sz w:val="22"/>
        </w:rPr>
        <w:t xml:space="preserve">each of the Learning and Teaching Strategy strategic </w:t>
      </w:r>
      <w:r w:rsidR="00300653" w:rsidRPr="00AD6578">
        <w:rPr>
          <w:rFonts w:ascii="Arial" w:hAnsi="Arial" w:cs="Arial"/>
          <w:b/>
          <w:sz w:val="22"/>
          <w:szCs w:val="22"/>
        </w:rPr>
        <w:t xml:space="preserve">goals (as given below) </w:t>
      </w:r>
    </w:p>
    <w:p w:rsidR="003429FB" w:rsidRDefault="003429FB" w:rsidP="003429FB">
      <w:pPr>
        <w:rPr>
          <w:rFonts w:ascii="Arial" w:hAnsi="Arial" w:cs="Arial"/>
          <w:sz w:val="22"/>
        </w:rPr>
      </w:pPr>
    </w:p>
    <w:p w:rsidR="003429FB" w:rsidRPr="006E1B2C" w:rsidRDefault="003D4741" w:rsidP="006E1B2C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6E1B2C">
        <w:rPr>
          <w:rFonts w:ascii="Arial" w:hAnsi="Arial" w:cs="Arial"/>
          <w:sz w:val="22"/>
        </w:rPr>
        <w:t xml:space="preserve">In developing the reflective </w:t>
      </w:r>
      <w:proofErr w:type="gramStart"/>
      <w:r w:rsidRPr="00493FFD">
        <w:rPr>
          <w:rFonts w:ascii="Arial" w:hAnsi="Arial" w:cs="Arial"/>
          <w:sz w:val="22"/>
        </w:rPr>
        <w:t>commentary</w:t>
      </w:r>
      <w:proofErr w:type="gramEnd"/>
      <w:r w:rsidRPr="00493FFD">
        <w:rPr>
          <w:rFonts w:ascii="Arial" w:hAnsi="Arial" w:cs="Arial"/>
          <w:sz w:val="22"/>
        </w:rPr>
        <w:t xml:space="preserve"> </w:t>
      </w:r>
      <w:r w:rsidR="00AD6578" w:rsidRPr="00493FFD">
        <w:rPr>
          <w:rFonts w:ascii="Arial" w:hAnsi="Arial" w:cs="Arial"/>
          <w:sz w:val="22"/>
        </w:rPr>
        <w:t xml:space="preserve">include consideration of </w:t>
      </w:r>
      <w:r w:rsidRPr="00493FFD">
        <w:rPr>
          <w:rFonts w:ascii="Arial" w:hAnsi="Arial" w:cs="Arial"/>
          <w:sz w:val="22"/>
        </w:rPr>
        <w:t>the</w:t>
      </w:r>
      <w:r w:rsidRPr="006E1B2C">
        <w:rPr>
          <w:rFonts w:ascii="Arial" w:hAnsi="Arial" w:cs="Arial"/>
          <w:sz w:val="22"/>
        </w:rPr>
        <w:t xml:space="preserve"> </w:t>
      </w:r>
      <w:r w:rsidR="00AD6578" w:rsidRPr="006E1B2C">
        <w:rPr>
          <w:rFonts w:ascii="Arial" w:hAnsi="Arial" w:cs="Arial"/>
          <w:sz w:val="22"/>
        </w:rPr>
        <w:t>D</w:t>
      </w:r>
      <w:r w:rsidRPr="006E1B2C">
        <w:rPr>
          <w:rFonts w:ascii="Arial" w:hAnsi="Arial" w:cs="Arial"/>
          <w:sz w:val="22"/>
        </w:rPr>
        <w:t>epartment</w:t>
      </w:r>
      <w:r w:rsidR="00AD6578" w:rsidRPr="006E1B2C">
        <w:rPr>
          <w:rFonts w:ascii="Arial" w:hAnsi="Arial" w:cs="Arial"/>
          <w:sz w:val="22"/>
        </w:rPr>
        <w:t>’</w:t>
      </w:r>
      <w:r w:rsidRPr="006E1B2C">
        <w:rPr>
          <w:rFonts w:ascii="Arial" w:hAnsi="Arial" w:cs="Arial"/>
          <w:sz w:val="22"/>
        </w:rPr>
        <w:t xml:space="preserve">s position in terms of strengths and weaknesses, drawing on the available evidence </w:t>
      </w:r>
      <w:r w:rsidR="004E0178" w:rsidRPr="006E1B2C">
        <w:rPr>
          <w:rFonts w:ascii="Arial" w:hAnsi="Arial" w:cs="Arial"/>
          <w:sz w:val="22"/>
        </w:rPr>
        <w:t xml:space="preserve">(metrics and qualitative evidence) </w:t>
      </w:r>
      <w:r w:rsidRPr="006E1B2C">
        <w:rPr>
          <w:rFonts w:ascii="Arial" w:hAnsi="Arial" w:cs="Arial"/>
          <w:sz w:val="22"/>
        </w:rPr>
        <w:t>as appropriate</w:t>
      </w:r>
      <w:r w:rsidR="00B97F6C" w:rsidRPr="006E1B2C">
        <w:rPr>
          <w:rFonts w:ascii="Arial" w:hAnsi="Arial" w:cs="Arial"/>
          <w:sz w:val="22"/>
        </w:rPr>
        <w:t>, with reference to the Expectations set out in Annex A</w:t>
      </w:r>
      <w:r w:rsidRPr="006E1B2C">
        <w:rPr>
          <w:rFonts w:ascii="Arial" w:hAnsi="Arial" w:cs="Arial"/>
          <w:sz w:val="22"/>
        </w:rPr>
        <w:t>.</w:t>
      </w:r>
      <w:r w:rsidR="00300653" w:rsidRPr="006E1B2C">
        <w:rPr>
          <w:rFonts w:ascii="Arial" w:hAnsi="Arial" w:cs="Arial"/>
          <w:sz w:val="22"/>
        </w:rPr>
        <w:t xml:space="preserve">  </w:t>
      </w:r>
    </w:p>
    <w:p w:rsidR="003429FB" w:rsidRPr="00F87FDD" w:rsidRDefault="003429FB" w:rsidP="003429FB">
      <w:pPr>
        <w:rPr>
          <w:rFonts w:ascii="Arial" w:hAnsi="Arial" w:cs="Arial"/>
          <w:sz w:val="22"/>
        </w:rPr>
      </w:pPr>
    </w:p>
    <w:p w:rsidR="003429FB" w:rsidRPr="006E1B2C" w:rsidRDefault="00300653" w:rsidP="003429FB">
      <w:pPr>
        <w:rPr>
          <w:rFonts w:ascii="Arial" w:hAnsi="Arial" w:cs="Arial"/>
          <w:sz w:val="22"/>
          <w:szCs w:val="22"/>
        </w:rPr>
      </w:pPr>
      <w:r w:rsidRPr="006E1B2C">
        <w:rPr>
          <w:rFonts w:ascii="Arial" w:hAnsi="Arial" w:cs="Arial"/>
          <w:sz w:val="22"/>
          <w:szCs w:val="22"/>
        </w:rPr>
        <w:lastRenderedPageBreak/>
        <w:t xml:space="preserve">Please structure </w:t>
      </w:r>
      <w:r w:rsidR="006E1B2C" w:rsidRPr="006E1B2C">
        <w:rPr>
          <w:rFonts w:ascii="Arial" w:hAnsi="Arial" w:cs="Arial"/>
          <w:sz w:val="22"/>
          <w:szCs w:val="22"/>
        </w:rPr>
        <w:t xml:space="preserve">the </w:t>
      </w:r>
      <w:r w:rsidRPr="006E1B2C">
        <w:rPr>
          <w:rFonts w:ascii="Arial" w:hAnsi="Arial" w:cs="Arial"/>
          <w:sz w:val="22"/>
          <w:szCs w:val="22"/>
        </w:rPr>
        <w:t>commentary under the following sub</w:t>
      </w:r>
      <w:r w:rsidR="006E1B2C" w:rsidRPr="006E1B2C">
        <w:rPr>
          <w:rFonts w:ascii="Arial" w:hAnsi="Arial" w:cs="Arial"/>
          <w:sz w:val="22"/>
          <w:szCs w:val="22"/>
        </w:rPr>
        <w:t>-</w:t>
      </w:r>
      <w:proofErr w:type="gramStart"/>
      <w:r w:rsidRPr="006E1B2C">
        <w:rPr>
          <w:rFonts w:ascii="Arial" w:hAnsi="Arial" w:cs="Arial"/>
          <w:sz w:val="22"/>
          <w:szCs w:val="22"/>
        </w:rPr>
        <w:t>headings which</w:t>
      </w:r>
      <w:proofErr w:type="gramEnd"/>
      <w:r w:rsidRPr="006E1B2C">
        <w:rPr>
          <w:rFonts w:ascii="Arial" w:hAnsi="Arial" w:cs="Arial"/>
          <w:sz w:val="22"/>
          <w:szCs w:val="22"/>
        </w:rPr>
        <w:t xml:space="preserve"> relate to the Learning and Teaching Strategy strategic goals</w:t>
      </w:r>
      <w:r w:rsidR="00AC24C5" w:rsidRPr="006E1B2C">
        <w:rPr>
          <w:rFonts w:ascii="Arial" w:hAnsi="Arial" w:cs="Arial"/>
          <w:sz w:val="22"/>
          <w:szCs w:val="22"/>
        </w:rPr>
        <w:t>, the associated success indicators are also provided</w:t>
      </w:r>
      <w:r w:rsidR="006E1B2C" w:rsidRPr="006E1B2C">
        <w:rPr>
          <w:rFonts w:ascii="Arial" w:hAnsi="Arial" w:cs="Arial"/>
          <w:sz w:val="22"/>
          <w:szCs w:val="22"/>
        </w:rPr>
        <w:t>.</w:t>
      </w:r>
      <w:r w:rsidR="00AC24C5" w:rsidRPr="006E1B2C">
        <w:rPr>
          <w:rFonts w:ascii="Arial" w:hAnsi="Arial" w:cs="Arial"/>
          <w:sz w:val="22"/>
          <w:szCs w:val="22"/>
        </w:rPr>
        <w:t xml:space="preserve"> </w:t>
      </w:r>
      <w:r w:rsidRPr="006E1B2C">
        <w:rPr>
          <w:rFonts w:ascii="Arial" w:hAnsi="Arial" w:cs="Arial"/>
          <w:sz w:val="22"/>
          <w:szCs w:val="22"/>
        </w:rPr>
        <w:t xml:space="preserve"> </w:t>
      </w:r>
    </w:p>
    <w:p w:rsidR="003429FB" w:rsidRPr="00F87FDD" w:rsidRDefault="003429FB" w:rsidP="003429FB">
      <w:pPr>
        <w:rPr>
          <w:rFonts w:ascii="Arial" w:hAnsi="Arial" w:cs="Arial"/>
          <w:b/>
          <w:highlight w:val="yellow"/>
        </w:rPr>
      </w:pPr>
    </w:p>
    <w:p w:rsidR="00252DA4" w:rsidRPr="006E1B2C" w:rsidRDefault="00252DA4" w:rsidP="00252DA4">
      <w:pPr>
        <w:rPr>
          <w:rFonts w:ascii="Arial" w:eastAsia="Calibri" w:hAnsi="Arial" w:cs="Arial"/>
          <w:b/>
          <w:sz w:val="22"/>
          <w:szCs w:val="22"/>
        </w:rPr>
      </w:pPr>
      <w:r w:rsidRPr="006E1B2C">
        <w:rPr>
          <w:rFonts w:ascii="Arial" w:eastAsia="Calibri" w:hAnsi="Arial" w:cs="Arial"/>
          <w:b/>
          <w:sz w:val="22"/>
          <w:szCs w:val="22"/>
        </w:rPr>
        <w:t>Strategic Goal 1:</w:t>
      </w:r>
      <w:r w:rsidRPr="006E1B2C">
        <w:rPr>
          <w:rFonts w:ascii="Arial" w:eastAsia="Calibri" w:hAnsi="Arial" w:cs="Arial"/>
          <w:b/>
          <w:sz w:val="22"/>
          <w:szCs w:val="22"/>
        </w:rPr>
        <w:tab/>
        <w:t>Excellence in teaching and student learning</w:t>
      </w:r>
    </w:p>
    <w:p w:rsidR="00252DA4" w:rsidRPr="00CC5CE7" w:rsidRDefault="00252DA4" w:rsidP="00252DA4">
      <w:pPr>
        <w:rPr>
          <w:rFonts w:ascii="Arial" w:eastAsia="Calibri" w:hAnsi="Arial" w:cs="Arial"/>
          <w:i/>
          <w:sz w:val="22"/>
          <w:szCs w:val="22"/>
        </w:rPr>
      </w:pPr>
      <w:r w:rsidRPr="00FA4F9E">
        <w:rPr>
          <w:rFonts w:ascii="Arial" w:eastAsia="Calibri" w:hAnsi="Arial" w:cs="Arial"/>
          <w:sz w:val="22"/>
          <w:szCs w:val="22"/>
        </w:rPr>
        <w:t>To ensure students benefit from inspirational, intellectually challenging and inclusive teaching and learning underpinned by first rate learning environments and resources.</w:t>
      </w:r>
      <w:r w:rsidRPr="00FA4F9E">
        <w:rPr>
          <w:rFonts w:ascii="Arial" w:eastAsia="Calibri" w:hAnsi="Arial" w:cs="Arial"/>
          <w:sz w:val="22"/>
          <w:szCs w:val="22"/>
        </w:rPr>
        <w:br/>
      </w:r>
      <w:r w:rsidR="009946D2" w:rsidRPr="00CC5CE7">
        <w:rPr>
          <w:rFonts w:ascii="Arial" w:eastAsia="Calibri" w:hAnsi="Arial" w:cs="Arial"/>
          <w:i/>
          <w:sz w:val="22"/>
          <w:szCs w:val="22"/>
        </w:rPr>
        <w:t>(Linked with University Expectations: UE3, UE4</w:t>
      </w:r>
      <w:r w:rsidR="00E20DB2" w:rsidRPr="00CC5CE7">
        <w:rPr>
          <w:rFonts w:ascii="Arial" w:eastAsia="Calibri" w:hAnsi="Arial" w:cs="Arial"/>
          <w:i/>
          <w:sz w:val="22"/>
          <w:szCs w:val="22"/>
        </w:rPr>
        <w:t xml:space="preserve">, </w:t>
      </w:r>
      <w:r w:rsidR="0035406D">
        <w:rPr>
          <w:rFonts w:ascii="Arial" w:eastAsia="Calibri" w:hAnsi="Arial" w:cs="Arial"/>
          <w:i/>
          <w:sz w:val="22"/>
          <w:szCs w:val="22"/>
        </w:rPr>
        <w:t xml:space="preserve">UE6, </w:t>
      </w:r>
      <w:r w:rsidR="00E20DB2" w:rsidRPr="00CC5CE7">
        <w:rPr>
          <w:rFonts w:ascii="Arial" w:eastAsia="Calibri" w:hAnsi="Arial" w:cs="Arial"/>
          <w:i/>
          <w:sz w:val="22"/>
          <w:szCs w:val="22"/>
        </w:rPr>
        <w:t>UE10</w:t>
      </w:r>
      <w:r w:rsidR="009946D2" w:rsidRPr="00CC5CE7">
        <w:rPr>
          <w:rFonts w:ascii="Arial" w:eastAsia="Calibri" w:hAnsi="Arial" w:cs="Arial"/>
          <w:i/>
          <w:sz w:val="22"/>
          <w:szCs w:val="22"/>
        </w:rPr>
        <w:t>)</w:t>
      </w:r>
    </w:p>
    <w:p w:rsidR="009946D2" w:rsidRPr="00FA4F9E" w:rsidRDefault="009946D2" w:rsidP="00252DA4">
      <w:pPr>
        <w:rPr>
          <w:rFonts w:ascii="Arial" w:eastAsia="Calibri" w:hAnsi="Arial" w:cs="Arial"/>
          <w:sz w:val="22"/>
          <w:szCs w:val="22"/>
        </w:rPr>
      </w:pPr>
    </w:p>
    <w:p w:rsidR="00252DA4" w:rsidRPr="006E1B2C" w:rsidRDefault="00252DA4" w:rsidP="00252DA4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Staff with HEA Associate Fellow/ Fellow/Senior Fellow/ Principal Fellow/ NTF status</w:t>
      </w:r>
    </w:p>
    <w:p w:rsidR="00252DA4" w:rsidRPr="006E1B2C" w:rsidRDefault="00252DA4" w:rsidP="00252DA4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Modules with 85%+ satisfaction</w:t>
      </w:r>
    </w:p>
    <w:p w:rsidR="00252DA4" w:rsidRPr="006E1B2C" w:rsidRDefault="00252DA4" w:rsidP="00252DA4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 xml:space="preserve">UWSS and NSS satisfaction scores for teaching </w:t>
      </w:r>
    </w:p>
    <w:p w:rsidR="00252DA4" w:rsidRPr="006E1B2C" w:rsidRDefault="00252DA4" w:rsidP="00252DA4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Staff engagement with professional development opportunities for learning and teaching (including participation in peer supported review of teaching PSRT, and TEL development workshops)</w:t>
      </w:r>
    </w:p>
    <w:p w:rsidR="00252DA4" w:rsidRPr="006E1B2C" w:rsidRDefault="00252DA4" w:rsidP="00252DA4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 xml:space="preserve">TEL development </w:t>
      </w:r>
    </w:p>
    <w:p w:rsidR="00252DA4" w:rsidRPr="006E1B2C" w:rsidRDefault="00252DA4" w:rsidP="00252DA4">
      <w:pPr>
        <w:numPr>
          <w:ilvl w:val="0"/>
          <w:numId w:val="4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 xml:space="preserve">External engagement with learning and teaching innovation, scholarship and development </w:t>
      </w:r>
    </w:p>
    <w:p w:rsidR="00252DA4" w:rsidRPr="006E1B2C" w:rsidRDefault="00252DA4" w:rsidP="006E1B2C">
      <w:pPr>
        <w:rPr>
          <w:rFonts w:ascii="Arial" w:eastAsia="Calibri" w:hAnsi="Arial" w:cs="Arial"/>
          <w:b/>
          <w:sz w:val="22"/>
          <w:szCs w:val="22"/>
        </w:rPr>
      </w:pPr>
      <w:r w:rsidRPr="00252DA4">
        <w:rPr>
          <w:rFonts w:ascii="Arial" w:eastAsia="Calibri" w:hAnsi="Arial" w:cs="Arial"/>
          <w:b/>
          <w:szCs w:val="22"/>
        </w:rPr>
        <w:br/>
      </w:r>
      <w:r w:rsidRPr="006E1B2C">
        <w:rPr>
          <w:rFonts w:ascii="Arial" w:eastAsia="Calibri" w:hAnsi="Arial" w:cs="Arial"/>
          <w:b/>
          <w:sz w:val="22"/>
          <w:szCs w:val="22"/>
        </w:rPr>
        <w:t>Strategic Goal 2:</w:t>
      </w:r>
      <w:r w:rsidRPr="006E1B2C">
        <w:rPr>
          <w:rFonts w:ascii="Arial" w:eastAsia="Calibri" w:hAnsi="Arial" w:cs="Arial"/>
          <w:b/>
          <w:sz w:val="22"/>
          <w:szCs w:val="22"/>
        </w:rPr>
        <w:tab/>
        <w:t xml:space="preserve">Progressive and inspiring curricula </w:t>
      </w:r>
    </w:p>
    <w:p w:rsidR="00252DA4" w:rsidRPr="00FA4F9E" w:rsidRDefault="00252DA4" w:rsidP="00252DA4">
      <w:pPr>
        <w:contextualSpacing/>
        <w:rPr>
          <w:rFonts w:ascii="Arial" w:hAnsi="Arial" w:cs="Arial"/>
          <w:bCs/>
          <w:sz w:val="22"/>
          <w:szCs w:val="22"/>
        </w:rPr>
      </w:pPr>
      <w:r w:rsidRPr="00FA4F9E">
        <w:rPr>
          <w:rFonts w:ascii="Arial" w:eastAsia="Calibri" w:hAnsi="Arial" w:cs="Arial"/>
          <w:sz w:val="22"/>
          <w:szCs w:val="22"/>
        </w:rPr>
        <w:t xml:space="preserve">To design contemporary and relevant course curricula offering students learning experiences that are research-informed and promote </w:t>
      </w:r>
      <w:r w:rsidRPr="00FA4F9E">
        <w:rPr>
          <w:rFonts w:ascii="Arial" w:hAnsi="Arial" w:cs="Arial"/>
          <w:sz w:val="22"/>
          <w:szCs w:val="22"/>
        </w:rPr>
        <w:t>enquiry-based learning and critical thinking</w:t>
      </w:r>
      <w:r w:rsidRPr="00FA4F9E">
        <w:rPr>
          <w:rFonts w:ascii="Arial" w:hAnsi="Arial" w:cs="Arial"/>
          <w:bCs/>
          <w:sz w:val="22"/>
          <w:szCs w:val="22"/>
        </w:rPr>
        <w:t xml:space="preserve"> </w:t>
      </w:r>
    </w:p>
    <w:p w:rsidR="006E1B2C" w:rsidRPr="00CC5CE7" w:rsidRDefault="009946D2" w:rsidP="009946D2">
      <w:pPr>
        <w:contextualSpacing/>
        <w:rPr>
          <w:rFonts w:ascii="Arial" w:eastAsia="Calibri" w:hAnsi="Arial" w:cs="Arial"/>
          <w:i/>
          <w:sz w:val="22"/>
          <w:szCs w:val="22"/>
        </w:rPr>
      </w:pPr>
      <w:r w:rsidRPr="00CC5CE7">
        <w:rPr>
          <w:rFonts w:ascii="Arial" w:eastAsia="Calibri" w:hAnsi="Arial" w:cs="Arial"/>
          <w:i/>
          <w:sz w:val="22"/>
          <w:szCs w:val="22"/>
        </w:rPr>
        <w:t>(Linked with University Expectations: UE2</w:t>
      </w:r>
      <w:r w:rsidR="00E20DB2" w:rsidRPr="00CC5CE7">
        <w:rPr>
          <w:rFonts w:ascii="Arial" w:eastAsia="Calibri" w:hAnsi="Arial" w:cs="Arial"/>
          <w:i/>
          <w:sz w:val="22"/>
          <w:szCs w:val="22"/>
        </w:rPr>
        <w:t>, UE3, UE7, UE13)</w:t>
      </w:r>
    </w:p>
    <w:p w:rsidR="009946D2" w:rsidRPr="006E1B2C" w:rsidRDefault="009946D2" w:rsidP="009946D2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:rsidR="00252DA4" w:rsidRPr="006E1B2C" w:rsidRDefault="00252DA4" w:rsidP="00252DA4">
      <w:pPr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 xml:space="preserve">Courses that successfully recruit </w:t>
      </w:r>
    </w:p>
    <w:p w:rsidR="00252DA4" w:rsidRPr="006E1B2C" w:rsidRDefault="00252DA4" w:rsidP="00252DA4">
      <w:pPr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Employer and student/graduate engagement in course design and review</w:t>
      </w:r>
    </w:p>
    <w:p w:rsidR="00252DA4" w:rsidRPr="006E1B2C" w:rsidRDefault="00252DA4" w:rsidP="00252DA4">
      <w:pPr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 xml:space="preserve">UWSS and NSS satisfaction scores for assessment and feedback and course challenge </w:t>
      </w:r>
    </w:p>
    <w:p w:rsidR="00252DA4" w:rsidRPr="006E1B2C" w:rsidRDefault="00252DA4" w:rsidP="00252DA4">
      <w:pPr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Implementation of commitments to embedding information literacy, digital fluency, inclusion, internationalisation and sustainability in student learning experiences</w:t>
      </w:r>
    </w:p>
    <w:p w:rsidR="00252DA4" w:rsidRPr="006E1B2C" w:rsidRDefault="00252DA4" w:rsidP="00252DA4">
      <w:pPr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Staff and student engagement with research informed, led, inspired, engaged teaching</w:t>
      </w:r>
    </w:p>
    <w:p w:rsidR="00252DA4" w:rsidRPr="006E1B2C" w:rsidRDefault="00252DA4" w:rsidP="00252DA4">
      <w:pPr>
        <w:numPr>
          <w:ilvl w:val="0"/>
          <w:numId w:val="5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Course assessment and feedback strategies reviewed through TESTA</w:t>
      </w:r>
    </w:p>
    <w:p w:rsidR="00252DA4" w:rsidRPr="006E1B2C" w:rsidRDefault="00252DA4" w:rsidP="006E1B2C">
      <w:pPr>
        <w:rPr>
          <w:rFonts w:ascii="Arial" w:eastAsia="Calibri" w:hAnsi="Arial" w:cs="Arial"/>
          <w:b/>
          <w:sz w:val="22"/>
          <w:szCs w:val="22"/>
        </w:rPr>
      </w:pPr>
    </w:p>
    <w:p w:rsidR="00252DA4" w:rsidRPr="006E1B2C" w:rsidRDefault="00252DA4" w:rsidP="006E1B2C">
      <w:pPr>
        <w:rPr>
          <w:rFonts w:ascii="Arial" w:eastAsia="Calibri" w:hAnsi="Arial" w:cs="Arial"/>
          <w:b/>
          <w:sz w:val="22"/>
          <w:szCs w:val="22"/>
        </w:rPr>
      </w:pPr>
      <w:r w:rsidRPr="006E1B2C">
        <w:rPr>
          <w:rFonts w:ascii="Arial" w:eastAsia="Calibri" w:hAnsi="Arial" w:cs="Arial"/>
          <w:b/>
          <w:sz w:val="22"/>
          <w:szCs w:val="22"/>
        </w:rPr>
        <w:t>Strategic Goal 3:</w:t>
      </w:r>
      <w:r w:rsidRPr="006E1B2C">
        <w:rPr>
          <w:rFonts w:ascii="Arial" w:eastAsia="Calibri" w:hAnsi="Arial" w:cs="Arial"/>
          <w:b/>
          <w:sz w:val="22"/>
          <w:szCs w:val="22"/>
        </w:rPr>
        <w:tab/>
        <w:t>Highly employable graduates</w:t>
      </w:r>
    </w:p>
    <w:p w:rsidR="00A83720" w:rsidRPr="00FA4F9E" w:rsidRDefault="00A83720" w:rsidP="006E1B2C">
      <w:pPr>
        <w:contextualSpacing/>
        <w:rPr>
          <w:rFonts w:ascii="Arial" w:eastAsia="Calibri" w:hAnsi="Arial" w:cs="Arial"/>
          <w:sz w:val="22"/>
          <w:szCs w:val="22"/>
        </w:rPr>
      </w:pPr>
      <w:r w:rsidRPr="00FA4F9E">
        <w:rPr>
          <w:rFonts w:ascii="Arial" w:eastAsia="Calibri" w:hAnsi="Arial" w:cs="Arial"/>
          <w:sz w:val="22"/>
          <w:szCs w:val="22"/>
        </w:rPr>
        <w:t xml:space="preserve">To equip students to fulfil their potential and become lifelong learners, with capabilities for employability, enterprise creation and continuing professional development that enable them to be successful. </w:t>
      </w:r>
    </w:p>
    <w:p w:rsidR="00A83720" w:rsidRPr="00CC5CE7" w:rsidRDefault="00E20DB2" w:rsidP="00E20DB2">
      <w:pPr>
        <w:rPr>
          <w:rFonts w:ascii="Arial" w:eastAsia="Calibri" w:hAnsi="Arial" w:cs="Arial"/>
          <w:i/>
          <w:sz w:val="22"/>
          <w:szCs w:val="22"/>
        </w:rPr>
      </w:pPr>
      <w:r w:rsidRPr="00CC5CE7">
        <w:rPr>
          <w:rFonts w:ascii="Arial" w:eastAsia="Calibri" w:hAnsi="Arial" w:cs="Arial"/>
          <w:i/>
          <w:sz w:val="22"/>
          <w:szCs w:val="22"/>
        </w:rPr>
        <w:t>(Linked with University Expectations: UE8, UE9)</w:t>
      </w:r>
    </w:p>
    <w:p w:rsidR="00E20DB2" w:rsidRPr="00252DA4" w:rsidRDefault="00E20DB2" w:rsidP="00E20DB2">
      <w:pPr>
        <w:rPr>
          <w:rFonts w:ascii="Arial" w:eastAsia="Calibri" w:hAnsi="Arial" w:cs="Arial"/>
          <w:b/>
          <w:szCs w:val="22"/>
        </w:rPr>
      </w:pPr>
    </w:p>
    <w:p w:rsidR="00252DA4" w:rsidRPr="006E1B2C" w:rsidRDefault="00252DA4" w:rsidP="00252DA4">
      <w:pPr>
        <w:numPr>
          <w:ilvl w:val="0"/>
          <w:numId w:val="6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 xml:space="preserve">Proportion of undergraduate leavers in work or study </w:t>
      </w:r>
    </w:p>
    <w:p w:rsidR="00252DA4" w:rsidRPr="006E1B2C" w:rsidRDefault="00252DA4" w:rsidP="00252DA4">
      <w:pPr>
        <w:numPr>
          <w:ilvl w:val="0"/>
          <w:numId w:val="6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Proportion undergraduate leavers in graduate level employment</w:t>
      </w:r>
    </w:p>
    <w:p w:rsidR="00252DA4" w:rsidRPr="006E1B2C" w:rsidRDefault="00252DA4" w:rsidP="00252DA4">
      <w:pPr>
        <w:numPr>
          <w:ilvl w:val="0"/>
          <w:numId w:val="6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NSS satisfaction scores for careers education and personal development</w:t>
      </w:r>
    </w:p>
    <w:p w:rsidR="00252DA4" w:rsidRPr="006E1B2C" w:rsidRDefault="00252DA4" w:rsidP="00252DA4">
      <w:pPr>
        <w:numPr>
          <w:ilvl w:val="0"/>
          <w:numId w:val="6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Explicit employability and entrepreneurship strategies (including employer engagement and</w:t>
      </w:r>
      <w:r w:rsidR="00D02721">
        <w:rPr>
          <w:rFonts w:ascii="Arial" w:eastAsia="Calibri" w:hAnsi="Arial" w:cs="Arial"/>
          <w:sz w:val="22"/>
          <w:szCs w:val="22"/>
        </w:rPr>
        <w:t xml:space="preserve"> careers education) at School</w:t>
      </w:r>
      <w:r w:rsidRPr="006E1B2C">
        <w:rPr>
          <w:rFonts w:ascii="Arial" w:eastAsia="Calibri" w:hAnsi="Arial" w:cs="Arial"/>
          <w:sz w:val="22"/>
          <w:szCs w:val="22"/>
        </w:rPr>
        <w:t>/</w:t>
      </w:r>
      <w:r w:rsidR="00CD3C88" w:rsidRPr="006E1B2C">
        <w:rPr>
          <w:rFonts w:ascii="Arial" w:eastAsia="Calibri" w:hAnsi="Arial" w:cs="Arial"/>
          <w:sz w:val="22"/>
          <w:szCs w:val="22"/>
        </w:rPr>
        <w:t xml:space="preserve">Departmental and </w:t>
      </w:r>
      <w:r w:rsidRPr="006E1B2C">
        <w:rPr>
          <w:rFonts w:ascii="Arial" w:eastAsia="Calibri" w:hAnsi="Arial" w:cs="Arial"/>
          <w:sz w:val="22"/>
          <w:szCs w:val="22"/>
        </w:rPr>
        <w:t>course levels</w:t>
      </w:r>
    </w:p>
    <w:p w:rsidR="00252DA4" w:rsidRPr="006E1B2C" w:rsidRDefault="00252DA4" w:rsidP="00252DA4">
      <w:pPr>
        <w:numPr>
          <w:ilvl w:val="0"/>
          <w:numId w:val="6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Student take up of placement opportunities</w:t>
      </w:r>
    </w:p>
    <w:p w:rsidR="006E1B2C" w:rsidRDefault="006E1B2C" w:rsidP="00252DA4">
      <w:pPr>
        <w:rPr>
          <w:rFonts w:ascii="Arial" w:eastAsia="Calibri" w:hAnsi="Arial" w:cs="Arial"/>
          <w:b/>
          <w:szCs w:val="22"/>
        </w:rPr>
      </w:pPr>
    </w:p>
    <w:p w:rsidR="00252DA4" w:rsidRPr="006E1B2C" w:rsidRDefault="00252DA4" w:rsidP="006E1B2C">
      <w:pPr>
        <w:rPr>
          <w:rFonts w:ascii="Arial" w:eastAsia="Calibri" w:hAnsi="Arial" w:cs="Arial"/>
          <w:b/>
          <w:sz w:val="22"/>
          <w:szCs w:val="22"/>
        </w:rPr>
      </w:pPr>
      <w:r w:rsidRPr="006E1B2C">
        <w:rPr>
          <w:rFonts w:ascii="Arial" w:eastAsia="Calibri" w:hAnsi="Arial" w:cs="Arial"/>
          <w:b/>
          <w:sz w:val="22"/>
          <w:szCs w:val="22"/>
        </w:rPr>
        <w:t>Strategic Goal 4:</w:t>
      </w:r>
      <w:r w:rsidRPr="006E1B2C">
        <w:rPr>
          <w:rFonts w:ascii="Arial" w:eastAsia="Calibri" w:hAnsi="Arial" w:cs="Arial"/>
          <w:b/>
          <w:sz w:val="22"/>
          <w:szCs w:val="22"/>
        </w:rPr>
        <w:tab/>
        <w:t>Students as partners in learning and academic communities</w:t>
      </w:r>
    </w:p>
    <w:p w:rsidR="00A83720" w:rsidRPr="00FA4F9E" w:rsidRDefault="00A83720" w:rsidP="006E1B2C">
      <w:pPr>
        <w:rPr>
          <w:rFonts w:ascii="Arial" w:eastAsia="Calibri" w:hAnsi="Arial" w:cs="Arial"/>
          <w:sz w:val="22"/>
          <w:szCs w:val="22"/>
        </w:rPr>
      </w:pPr>
      <w:r w:rsidRPr="00FA4F9E">
        <w:rPr>
          <w:rFonts w:ascii="Arial" w:eastAsia="Calibri" w:hAnsi="Arial" w:cs="Arial"/>
          <w:sz w:val="22"/>
          <w:szCs w:val="22"/>
        </w:rPr>
        <w:t>To engage students as partners in planning, managing and enhancing learning experiences, and in so doing, support them to develop professional and ethical behaviours consistent with University values.</w:t>
      </w:r>
    </w:p>
    <w:p w:rsidR="00A83720" w:rsidRPr="00CC5CE7" w:rsidRDefault="009946D2" w:rsidP="009946D2">
      <w:pPr>
        <w:rPr>
          <w:rFonts w:ascii="Arial" w:eastAsia="Calibri" w:hAnsi="Arial" w:cs="Arial"/>
          <w:i/>
          <w:sz w:val="22"/>
          <w:szCs w:val="22"/>
        </w:rPr>
      </w:pPr>
      <w:r w:rsidRPr="00CC5CE7">
        <w:rPr>
          <w:rFonts w:ascii="Arial" w:eastAsia="Calibri" w:hAnsi="Arial" w:cs="Arial"/>
          <w:i/>
          <w:sz w:val="22"/>
          <w:szCs w:val="22"/>
        </w:rPr>
        <w:t>(Linked with University Expectations: UE1</w:t>
      </w:r>
      <w:r w:rsidR="00E20DB2" w:rsidRPr="00CC5CE7">
        <w:rPr>
          <w:rFonts w:ascii="Arial" w:eastAsia="Calibri" w:hAnsi="Arial" w:cs="Arial"/>
          <w:i/>
          <w:sz w:val="22"/>
          <w:szCs w:val="22"/>
        </w:rPr>
        <w:t>, UE12)</w:t>
      </w:r>
    </w:p>
    <w:p w:rsidR="009946D2" w:rsidRPr="006E1B2C" w:rsidRDefault="009946D2" w:rsidP="009946D2">
      <w:pPr>
        <w:rPr>
          <w:rFonts w:ascii="Arial" w:eastAsia="Calibri" w:hAnsi="Arial" w:cs="Arial"/>
          <w:b/>
          <w:sz w:val="22"/>
          <w:szCs w:val="22"/>
        </w:rPr>
      </w:pPr>
    </w:p>
    <w:p w:rsidR="00252DA4" w:rsidRPr="006E1B2C" w:rsidRDefault="00252DA4" w:rsidP="006E1B2C">
      <w:pPr>
        <w:numPr>
          <w:ilvl w:val="0"/>
          <w:numId w:val="7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UWSS and NSS satisfaction with StARs system and student feedback mechanisms</w:t>
      </w:r>
    </w:p>
    <w:p w:rsidR="00252DA4" w:rsidRPr="006E1B2C" w:rsidRDefault="00252DA4" w:rsidP="006E1B2C">
      <w:pPr>
        <w:numPr>
          <w:ilvl w:val="0"/>
          <w:numId w:val="7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lastRenderedPageBreak/>
        <w:t>Student engagement with learning (as measured through UWSS and NSS student engagement measures)</w:t>
      </w:r>
    </w:p>
    <w:p w:rsidR="00252DA4" w:rsidRPr="006E1B2C" w:rsidRDefault="00252DA4" w:rsidP="006E1B2C">
      <w:pPr>
        <w:numPr>
          <w:ilvl w:val="0"/>
          <w:numId w:val="7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Number of SAP project applications and successful completions</w:t>
      </w:r>
    </w:p>
    <w:p w:rsidR="00252DA4" w:rsidRPr="006E1B2C" w:rsidRDefault="00252DA4" w:rsidP="006E1B2C">
      <w:pPr>
        <w:numPr>
          <w:ilvl w:val="0"/>
          <w:numId w:val="7"/>
        </w:numPr>
        <w:contextualSpacing/>
        <w:rPr>
          <w:rFonts w:ascii="Arial" w:eastAsia="Calibri" w:hAnsi="Arial" w:cs="Arial"/>
          <w:sz w:val="22"/>
          <w:szCs w:val="22"/>
        </w:rPr>
      </w:pPr>
      <w:r w:rsidRPr="006E1B2C">
        <w:rPr>
          <w:rFonts w:ascii="Arial" w:eastAsia="Calibri" w:hAnsi="Arial" w:cs="Arial"/>
          <w:sz w:val="22"/>
          <w:szCs w:val="22"/>
        </w:rPr>
        <w:t>Course leader engagement in training and development opportunities</w:t>
      </w:r>
    </w:p>
    <w:p w:rsidR="00252DA4" w:rsidRPr="006E1B2C" w:rsidRDefault="00252DA4" w:rsidP="006E1B2C">
      <w:pPr>
        <w:rPr>
          <w:rFonts w:ascii="Arial" w:eastAsia="Calibri" w:hAnsi="Arial" w:cs="Arial"/>
          <w:b/>
          <w:sz w:val="22"/>
          <w:szCs w:val="22"/>
        </w:rPr>
      </w:pPr>
    </w:p>
    <w:p w:rsidR="00252DA4" w:rsidRPr="00B04BB0" w:rsidRDefault="00252DA4" w:rsidP="00B04BB0">
      <w:pPr>
        <w:rPr>
          <w:rFonts w:ascii="Arial" w:eastAsia="Calibri" w:hAnsi="Arial" w:cs="Arial"/>
          <w:b/>
          <w:sz w:val="22"/>
          <w:szCs w:val="22"/>
        </w:rPr>
      </w:pPr>
      <w:r w:rsidRPr="00B04BB0">
        <w:rPr>
          <w:rFonts w:ascii="Arial" w:eastAsia="Calibri" w:hAnsi="Arial" w:cs="Arial"/>
          <w:b/>
          <w:sz w:val="22"/>
          <w:szCs w:val="22"/>
        </w:rPr>
        <w:t>Strategic Goal 5:</w:t>
      </w:r>
      <w:r w:rsidRPr="00B04BB0">
        <w:rPr>
          <w:rFonts w:ascii="Arial" w:eastAsia="Calibri" w:hAnsi="Arial" w:cs="Arial"/>
          <w:b/>
          <w:sz w:val="22"/>
          <w:szCs w:val="22"/>
        </w:rPr>
        <w:tab/>
        <w:t>Supporting academic progression and achievement</w:t>
      </w:r>
    </w:p>
    <w:p w:rsidR="00A83720" w:rsidRPr="00FA4F9E" w:rsidRDefault="00A83720" w:rsidP="00B04BB0">
      <w:pPr>
        <w:rPr>
          <w:rFonts w:ascii="Arial" w:eastAsia="Calibri" w:hAnsi="Arial" w:cs="Arial"/>
          <w:sz w:val="22"/>
          <w:szCs w:val="22"/>
        </w:rPr>
      </w:pPr>
      <w:r w:rsidRPr="00FA4F9E">
        <w:rPr>
          <w:rFonts w:ascii="Arial" w:eastAsia="Calibri" w:hAnsi="Arial" w:cs="Arial"/>
          <w:sz w:val="22"/>
          <w:szCs w:val="22"/>
        </w:rPr>
        <w:t xml:space="preserve">To provide effective Personal Academic Tutoring and support systems that ensure high rates of student retention, progression and achievement </w:t>
      </w:r>
    </w:p>
    <w:p w:rsidR="00A83720" w:rsidRPr="00CC5CE7" w:rsidRDefault="00E20DB2" w:rsidP="00E20DB2">
      <w:pPr>
        <w:rPr>
          <w:rFonts w:ascii="Arial" w:eastAsia="Calibri" w:hAnsi="Arial" w:cs="Arial"/>
          <w:i/>
          <w:sz w:val="22"/>
          <w:szCs w:val="22"/>
        </w:rPr>
      </w:pPr>
      <w:r w:rsidRPr="00CC5CE7">
        <w:rPr>
          <w:rFonts w:ascii="Arial" w:eastAsia="Calibri" w:hAnsi="Arial" w:cs="Arial"/>
          <w:i/>
          <w:sz w:val="22"/>
          <w:szCs w:val="22"/>
        </w:rPr>
        <w:t>(Linked with University Expectations: UE3, UE5)</w:t>
      </w:r>
    </w:p>
    <w:p w:rsidR="00E20DB2" w:rsidRPr="00FA4F9E" w:rsidRDefault="00E20DB2" w:rsidP="00E20DB2">
      <w:pPr>
        <w:rPr>
          <w:rFonts w:ascii="Arial" w:eastAsia="Calibri" w:hAnsi="Arial" w:cs="Arial"/>
          <w:sz w:val="22"/>
          <w:szCs w:val="22"/>
        </w:rPr>
      </w:pPr>
    </w:p>
    <w:p w:rsidR="00252DA4" w:rsidRPr="00B04BB0" w:rsidRDefault="00252DA4" w:rsidP="00B04BB0">
      <w:pPr>
        <w:numPr>
          <w:ilvl w:val="0"/>
          <w:numId w:val="8"/>
        </w:numPr>
        <w:contextualSpacing/>
        <w:rPr>
          <w:rFonts w:ascii="Arial" w:eastAsia="Calibri" w:hAnsi="Arial" w:cs="Arial"/>
          <w:sz w:val="22"/>
          <w:szCs w:val="22"/>
        </w:rPr>
      </w:pPr>
      <w:r w:rsidRPr="00B04BB0">
        <w:rPr>
          <w:rFonts w:ascii="Arial" w:eastAsia="Calibri" w:hAnsi="Arial" w:cs="Arial"/>
          <w:sz w:val="22"/>
          <w:szCs w:val="22"/>
        </w:rPr>
        <w:t xml:space="preserve">Student satisfaction with academic support and Personal Academic Tutor systems (overall and for specific groups, </w:t>
      </w:r>
      <w:proofErr w:type="spellStart"/>
      <w:r w:rsidRPr="00B04BB0">
        <w:rPr>
          <w:rFonts w:ascii="Arial" w:eastAsia="Calibri" w:hAnsi="Arial" w:cs="Arial"/>
          <w:sz w:val="22"/>
          <w:szCs w:val="22"/>
        </w:rPr>
        <w:t>eg</w:t>
      </w:r>
      <w:proofErr w:type="spellEnd"/>
      <w:r w:rsidRPr="00B04BB0">
        <w:rPr>
          <w:rFonts w:ascii="Arial" w:eastAsia="Calibri" w:hAnsi="Arial" w:cs="Arial"/>
          <w:sz w:val="22"/>
          <w:szCs w:val="22"/>
        </w:rPr>
        <w:t xml:space="preserve"> mature/disabled/BME groups)</w:t>
      </w:r>
    </w:p>
    <w:p w:rsidR="00252DA4" w:rsidRPr="00B04BB0" w:rsidRDefault="00252DA4" w:rsidP="00B04BB0">
      <w:pPr>
        <w:numPr>
          <w:ilvl w:val="0"/>
          <w:numId w:val="8"/>
        </w:numPr>
        <w:contextualSpacing/>
        <w:rPr>
          <w:rFonts w:ascii="Arial" w:eastAsia="Calibri" w:hAnsi="Arial" w:cs="Arial"/>
          <w:sz w:val="22"/>
          <w:szCs w:val="22"/>
        </w:rPr>
      </w:pPr>
      <w:r w:rsidRPr="00B04BB0">
        <w:rPr>
          <w:rFonts w:ascii="Arial" w:eastAsia="Calibri" w:hAnsi="Arial" w:cs="Arial"/>
          <w:sz w:val="22"/>
          <w:szCs w:val="22"/>
        </w:rPr>
        <w:t xml:space="preserve">Student retention, progression and achievement data (overall and for specific groups, </w:t>
      </w:r>
      <w:proofErr w:type="spellStart"/>
      <w:r w:rsidRPr="00B04BB0">
        <w:rPr>
          <w:rFonts w:ascii="Arial" w:eastAsia="Calibri" w:hAnsi="Arial" w:cs="Arial"/>
          <w:sz w:val="22"/>
          <w:szCs w:val="22"/>
        </w:rPr>
        <w:t>eg</w:t>
      </w:r>
      <w:proofErr w:type="spellEnd"/>
      <w:r w:rsidRPr="00B04BB0">
        <w:rPr>
          <w:rFonts w:ascii="Arial" w:eastAsia="Calibri" w:hAnsi="Arial" w:cs="Arial"/>
          <w:sz w:val="22"/>
          <w:szCs w:val="22"/>
        </w:rPr>
        <w:t xml:space="preserve"> mature/disabled/BME groups)</w:t>
      </w:r>
    </w:p>
    <w:p w:rsidR="00252DA4" w:rsidRPr="00B04BB0" w:rsidRDefault="00252DA4" w:rsidP="00B04BB0">
      <w:pPr>
        <w:numPr>
          <w:ilvl w:val="0"/>
          <w:numId w:val="8"/>
        </w:numPr>
        <w:contextualSpacing/>
        <w:rPr>
          <w:rFonts w:ascii="Arial" w:eastAsia="Calibri" w:hAnsi="Arial" w:cs="Arial"/>
          <w:sz w:val="22"/>
          <w:szCs w:val="22"/>
        </w:rPr>
      </w:pPr>
      <w:r w:rsidRPr="00B04BB0">
        <w:rPr>
          <w:rFonts w:ascii="Arial" w:eastAsia="Calibri" w:hAnsi="Arial" w:cs="Arial"/>
          <w:sz w:val="22"/>
          <w:szCs w:val="22"/>
        </w:rPr>
        <w:t>Student and staff feedback on use of learning technologies</w:t>
      </w:r>
    </w:p>
    <w:p w:rsidR="00252DA4" w:rsidRPr="00B04BB0" w:rsidRDefault="00252DA4" w:rsidP="00B04BB0">
      <w:pPr>
        <w:numPr>
          <w:ilvl w:val="0"/>
          <w:numId w:val="8"/>
        </w:numPr>
        <w:contextualSpacing/>
        <w:rPr>
          <w:rFonts w:ascii="Arial" w:eastAsia="Calibri" w:hAnsi="Arial" w:cs="Arial"/>
          <w:sz w:val="22"/>
          <w:szCs w:val="22"/>
        </w:rPr>
      </w:pPr>
      <w:r w:rsidRPr="00B04BB0">
        <w:rPr>
          <w:rFonts w:ascii="Arial" w:eastAsia="Calibri" w:hAnsi="Arial" w:cs="Arial"/>
          <w:sz w:val="22"/>
          <w:szCs w:val="22"/>
        </w:rPr>
        <w:t xml:space="preserve">Use of learner analytics to support tracking of student progress </w:t>
      </w:r>
    </w:p>
    <w:p w:rsidR="00E20DB2" w:rsidRDefault="00E20DB2" w:rsidP="00B04BB0">
      <w:pPr>
        <w:rPr>
          <w:rFonts w:ascii="Arial" w:hAnsi="Arial" w:cs="Arial"/>
          <w:sz w:val="22"/>
          <w:szCs w:val="22"/>
        </w:rPr>
      </w:pPr>
    </w:p>
    <w:p w:rsidR="003429FB" w:rsidRPr="00CC5CE7" w:rsidRDefault="00E20DB2" w:rsidP="00B04BB0">
      <w:pPr>
        <w:rPr>
          <w:rFonts w:ascii="Arial" w:hAnsi="Arial" w:cs="Arial"/>
          <w:i/>
          <w:sz w:val="22"/>
          <w:szCs w:val="22"/>
        </w:rPr>
      </w:pPr>
      <w:r w:rsidRPr="00CC5CE7">
        <w:rPr>
          <w:rFonts w:ascii="Arial" w:hAnsi="Arial" w:cs="Arial"/>
          <w:i/>
          <w:sz w:val="22"/>
          <w:szCs w:val="22"/>
        </w:rPr>
        <w:t>University Expectations UE11, UE14 &amp; UE15 relate to all above Strategic Goals)</w:t>
      </w:r>
    </w:p>
    <w:p w:rsidR="00E20DB2" w:rsidRDefault="00E20DB2" w:rsidP="00B04BB0">
      <w:pPr>
        <w:rPr>
          <w:rFonts w:ascii="Arial" w:hAnsi="Arial" w:cs="Arial"/>
          <w:sz w:val="22"/>
          <w:szCs w:val="22"/>
        </w:rPr>
      </w:pPr>
    </w:p>
    <w:p w:rsidR="003D4741" w:rsidRPr="00F87FDD" w:rsidRDefault="006E1B2C" w:rsidP="006E1B2C">
      <w:p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="0039379B">
        <w:rPr>
          <w:rFonts w:ascii="Arial" w:hAnsi="Arial" w:cs="Arial"/>
          <w:b/>
          <w:sz w:val="22"/>
        </w:rPr>
        <w:tab/>
        <w:t>Enhancement plan</w:t>
      </w:r>
    </w:p>
    <w:p w:rsidR="003D4741" w:rsidRDefault="003D4741" w:rsidP="003D4741">
      <w:pPr>
        <w:rPr>
          <w:rFonts w:ascii="Arial" w:hAnsi="Arial" w:cs="Arial"/>
          <w:b/>
          <w:sz w:val="22"/>
        </w:rPr>
      </w:pPr>
    </w:p>
    <w:p w:rsidR="00300653" w:rsidRPr="0004142F" w:rsidRDefault="0039379B" w:rsidP="0004142F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04142F">
        <w:rPr>
          <w:rFonts w:ascii="Arial" w:hAnsi="Arial" w:cs="Arial"/>
          <w:sz w:val="22"/>
        </w:rPr>
        <w:t>Provide a list of the Department</w:t>
      </w:r>
      <w:r w:rsidR="006E1B2C" w:rsidRPr="0004142F">
        <w:rPr>
          <w:rFonts w:ascii="Arial" w:hAnsi="Arial" w:cs="Arial"/>
          <w:sz w:val="22"/>
        </w:rPr>
        <w:t>’</w:t>
      </w:r>
      <w:r w:rsidRPr="0004142F">
        <w:rPr>
          <w:rFonts w:ascii="Arial" w:hAnsi="Arial" w:cs="Arial"/>
          <w:sz w:val="22"/>
        </w:rPr>
        <w:t>s key enhancement priorities for the next 3 years, indicat</w:t>
      </w:r>
      <w:r w:rsidR="00376E92" w:rsidRPr="0004142F">
        <w:rPr>
          <w:rFonts w:ascii="Arial" w:hAnsi="Arial" w:cs="Arial"/>
          <w:sz w:val="22"/>
        </w:rPr>
        <w:t>ing who will be responsible,</w:t>
      </w:r>
      <w:r w:rsidRPr="0004142F">
        <w:rPr>
          <w:rFonts w:ascii="Arial" w:hAnsi="Arial" w:cs="Arial"/>
          <w:sz w:val="22"/>
        </w:rPr>
        <w:t xml:space="preserve"> the key actions to </w:t>
      </w:r>
      <w:proofErr w:type="gramStart"/>
      <w:r w:rsidRPr="0004142F">
        <w:rPr>
          <w:rFonts w:ascii="Arial" w:hAnsi="Arial" w:cs="Arial"/>
          <w:sz w:val="22"/>
        </w:rPr>
        <w:t>be taken</w:t>
      </w:r>
      <w:proofErr w:type="gramEnd"/>
      <w:r w:rsidR="00875960">
        <w:rPr>
          <w:rFonts w:ascii="Arial" w:hAnsi="Arial" w:cs="Arial"/>
          <w:sz w:val="22"/>
        </w:rPr>
        <w:t>,</w:t>
      </w:r>
      <w:r w:rsidRPr="0004142F">
        <w:rPr>
          <w:rFonts w:ascii="Arial" w:hAnsi="Arial" w:cs="Arial"/>
          <w:sz w:val="22"/>
        </w:rPr>
        <w:t xml:space="preserve"> the key milestones and success criteria</w:t>
      </w:r>
      <w:r w:rsidR="00875960">
        <w:rPr>
          <w:rFonts w:ascii="Arial" w:hAnsi="Arial" w:cs="Arial"/>
          <w:sz w:val="22"/>
        </w:rPr>
        <w:t>.</w:t>
      </w:r>
    </w:p>
    <w:p w:rsidR="00300653" w:rsidRPr="006E1B2C" w:rsidRDefault="00300653" w:rsidP="003D4741">
      <w:pPr>
        <w:rPr>
          <w:rFonts w:ascii="Arial" w:hAnsi="Arial" w:cs="Arial"/>
          <w:sz w:val="22"/>
        </w:rPr>
      </w:pPr>
    </w:p>
    <w:p w:rsidR="003D4741" w:rsidRDefault="003D4741"/>
    <w:p w:rsidR="00C32AB0" w:rsidRDefault="00C32AB0"/>
    <w:p w:rsidR="00C32AB0" w:rsidRDefault="00C32AB0"/>
    <w:p w:rsidR="00C32AB0" w:rsidRDefault="00C32AB0"/>
    <w:p w:rsidR="00C32AB0" w:rsidRDefault="00C32AB0"/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Default="00C32AB0" w:rsidP="00C32AB0">
      <w:pPr>
        <w:rPr>
          <w:rFonts w:ascii="Arial" w:hAnsi="Arial" w:cs="Arial"/>
          <w:sz w:val="22"/>
        </w:rPr>
      </w:pPr>
    </w:p>
    <w:p w:rsidR="00C32AB0" w:rsidRPr="00F7553A" w:rsidRDefault="00C32AB0" w:rsidP="00F7553A">
      <w:pPr>
        <w:spacing w:after="160" w:line="259" w:lineRule="auto"/>
        <w:rPr>
          <w:rFonts w:ascii="Arial" w:hAnsi="Arial" w:cs="Arial"/>
          <w:b/>
          <w:sz w:val="22"/>
        </w:rPr>
      </w:pPr>
    </w:p>
    <w:sectPr w:rsidR="00C32AB0" w:rsidRPr="00F7553A" w:rsidSect="0034166F"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CE" w:rsidRDefault="00A53FCE" w:rsidP="0034166F">
      <w:r>
        <w:separator/>
      </w:r>
    </w:p>
  </w:endnote>
  <w:endnote w:type="continuationSeparator" w:id="0">
    <w:p w:rsidR="00A53FCE" w:rsidRDefault="00A53FCE" w:rsidP="0034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2197869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4166F" w:rsidRPr="0034166F" w:rsidRDefault="0034166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66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02721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4166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02721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416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4166F" w:rsidRDefault="0034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CE" w:rsidRDefault="00A53FCE" w:rsidP="0034166F">
      <w:r>
        <w:separator/>
      </w:r>
    </w:p>
  </w:footnote>
  <w:footnote w:type="continuationSeparator" w:id="0">
    <w:p w:rsidR="00A53FCE" w:rsidRDefault="00A53FCE" w:rsidP="0034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F" w:rsidRDefault="00341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609"/>
    <w:multiLevelType w:val="hybridMultilevel"/>
    <w:tmpl w:val="6700E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FF954B9"/>
    <w:multiLevelType w:val="hybridMultilevel"/>
    <w:tmpl w:val="FFF2897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429"/>
    <w:multiLevelType w:val="hybridMultilevel"/>
    <w:tmpl w:val="06E832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ACD3C75"/>
    <w:multiLevelType w:val="hybridMultilevel"/>
    <w:tmpl w:val="49C0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69E8"/>
    <w:multiLevelType w:val="hybridMultilevel"/>
    <w:tmpl w:val="108E7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1DF0"/>
    <w:multiLevelType w:val="hybridMultilevel"/>
    <w:tmpl w:val="4F26DDC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311A"/>
    <w:multiLevelType w:val="hybridMultilevel"/>
    <w:tmpl w:val="03A41EE2"/>
    <w:lvl w:ilvl="0" w:tplc="4B84959E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0121AA"/>
    <w:multiLevelType w:val="hybridMultilevel"/>
    <w:tmpl w:val="3D90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E53AB"/>
    <w:multiLevelType w:val="hybridMultilevel"/>
    <w:tmpl w:val="4086B7C2"/>
    <w:lvl w:ilvl="0" w:tplc="4B84959E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B8E25EB"/>
    <w:multiLevelType w:val="hybridMultilevel"/>
    <w:tmpl w:val="C364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17AD5"/>
    <w:multiLevelType w:val="hybridMultilevel"/>
    <w:tmpl w:val="A41A17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5D2F"/>
    <w:multiLevelType w:val="hybridMultilevel"/>
    <w:tmpl w:val="29A26E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56F87"/>
    <w:multiLevelType w:val="hybridMultilevel"/>
    <w:tmpl w:val="C852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B"/>
    <w:rsid w:val="00017E31"/>
    <w:rsid w:val="0004142F"/>
    <w:rsid w:val="000D1E07"/>
    <w:rsid w:val="000F17D1"/>
    <w:rsid w:val="001001C3"/>
    <w:rsid w:val="0010121A"/>
    <w:rsid w:val="00180D97"/>
    <w:rsid w:val="001B32FF"/>
    <w:rsid w:val="00203CE9"/>
    <w:rsid w:val="00252DA4"/>
    <w:rsid w:val="00300653"/>
    <w:rsid w:val="0032091D"/>
    <w:rsid w:val="0034166F"/>
    <w:rsid w:val="003429FB"/>
    <w:rsid w:val="0035406D"/>
    <w:rsid w:val="00376E92"/>
    <w:rsid w:val="0039379B"/>
    <w:rsid w:val="003D4741"/>
    <w:rsid w:val="003E1307"/>
    <w:rsid w:val="00493FFD"/>
    <w:rsid w:val="004A62B6"/>
    <w:rsid w:val="004E0178"/>
    <w:rsid w:val="004E7DA3"/>
    <w:rsid w:val="005A647A"/>
    <w:rsid w:val="005D56C2"/>
    <w:rsid w:val="005F79E6"/>
    <w:rsid w:val="00644294"/>
    <w:rsid w:val="006E1B2C"/>
    <w:rsid w:val="0076369E"/>
    <w:rsid w:val="00777785"/>
    <w:rsid w:val="007F048F"/>
    <w:rsid w:val="00875960"/>
    <w:rsid w:val="009278A9"/>
    <w:rsid w:val="00984E59"/>
    <w:rsid w:val="009946D2"/>
    <w:rsid w:val="00A53FCE"/>
    <w:rsid w:val="00A83720"/>
    <w:rsid w:val="00AC24C5"/>
    <w:rsid w:val="00AD6578"/>
    <w:rsid w:val="00B023FA"/>
    <w:rsid w:val="00B04BB0"/>
    <w:rsid w:val="00B97F6C"/>
    <w:rsid w:val="00C07579"/>
    <w:rsid w:val="00C32AB0"/>
    <w:rsid w:val="00CC5CE7"/>
    <w:rsid w:val="00CD3C88"/>
    <w:rsid w:val="00D02721"/>
    <w:rsid w:val="00DC7535"/>
    <w:rsid w:val="00DD339F"/>
    <w:rsid w:val="00E20DB2"/>
    <w:rsid w:val="00EC21B0"/>
    <w:rsid w:val="00F262B7"/>
    <w:rsid w:val="00F7553A"/>
    <w:rsid w:val="00FA4F9E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BCE25C"/>
  <w15:docId w15:val="{A5D21C0C-327A-4890-9D3D-3AAD87A6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F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6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66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6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84AC-49A6-447A-857F-15DA8E94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Stowell</dc:creator>
  <cp:lastModifiedBy>Jennifer Zandbeek</cp:lastModifiedBy>
  <cp:revision>7</cp:revision>
  <cp:lastPrinted>2017-05-08T07:56:00Z</cp:lastPrinted>
  <dcterms:created xsi:type="dcterms:W3CDTF">2017-07-18T13:27:00Z</dcterms:created>
  <dcterms:modified xsi:type="dcterms:W3CDTF">2018-10-29T12:34:00Z</dcterms:modified>
</cp:coreProperties>
</file>