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240C1" w14:textId="77777777" w:rsidR="00B1341C" w:rsidRPr="00F83890" w:rsidRDefault="00F83890">
      <w:pPr>
        <w:rPr>
          <w:rFonts w:ascii="Arial" w:hAnsi="Arial" w:cs="Arial"/>
          <w:b/>
          <w:sz w:val="24"/>
          <w:szCs w:val="24"/>
        </w:rPr>
      </w:pPr>
      <w:r>
        <w:rPr>
          <w:rFonts w:ascii="Arial" w:hAnsi="Arial" w:cs="Arial"/>
          <w:b/>
          <w:sz w:val="24"/>
          <w:szCs w:val="24"/>
        </w:rPr>
        <w:t>Guidance for M</w:t>
      </w:r>
      <w:r w:rsidR="00FB7C99" w:rsidRPr="00F83890">
        <w:rPr>
          <w:rFonts w:ascii="Arial" w:hAnsi="Arial" w:cs="Arial"/>
          <w:b/>
          <w:sz w:val="24"/>
          <w:szCs w:val="24"/>
        </w:rPr>
        <w:t xml:space="preserve">anagers </w:t>
      </w:r>
      <w:r w:rsidR="001420FD" w:rsidRPr="00F83890">
        <w:rPr>
          <w:rFonts w:ascii="Arial" w:hAnsi="Arial" w:cs="Arial"/>
          <w:b/>
          <w:sz w:val="24"/>
          <w:szCs w:val="24"/>
        </w:rPr>
        <w:t xml:space="preserve">- </w:t>
      </w:r>
      <w:r>
        <w:rPr>
          <w:rFonts w:ascii="Arial" w:hAnsi="Arial" w:cs="Arial"/>
          <w:b/>
          <w:sz w:val="24"/>
          <w:szCs w:val="24"/>
        </w:rPr>
        <w:t>Starting S</w:t>
      </w:r>
      <w:r w:rsidR="00FB7C99" w:rsidRPr="00F83890">
        <w:rPr>
          <w:rFonts w:ascii="Arial" w:hAnsi="Arial" w:cs="Arial"/>
          <w:b/>
          <w:sz w:val="24"/>
          <w:szCs w:val="24"/>
        </w:rPr>
        <w:t xml:space="preserve">alaries </w:t>
      </w:r>
    </w:p>
    <w:p w14:paraId="662AF265" w14:textId="77777777" w:rsidR="00FB7C99" w:rsidRPr="00F83890" w:rsidRDefault="00FB7C99">
      <w:pPr>
        <w:rPr>
          <w:rFonts w:ascii="Arial" w:hAnsi="Arial" w:cs="Arial"/>
          <w:b/>
          <w:sz w:val="24"/>
          <w:szCs w:val="24"/>
        </w:rPr>
      </w:pPr>
      <w:r w:rsidRPr="00F83890">
        <w:rPr>
          <w:rFonts w:ascii="Arial" w:hAnsi="Arial" w:cs="Arial"/>
          <w:b/>
          <w:sz w:val="24"/>
          <w:szCs w:val="24"/>
        </w:rPr>
        <w:t>General Principles</w:t>
      </w:r>
      <w:r w:rsidR="004001D3" w:rsidRPr="00F83890">
        <w:rPr>
          <w:rFonts w:ascii="Arial" w:hAnsi="Arial" w:cs="Arial"/>
          <w:b/>
          <w:sz w:val="24"/>
          <w:szCs w:val="24"/>
        </w:rPr>
        <w:t xml:space="preserve"> </w:t>
      </w:r>
    </w:p>
    <w:p w14:paraId="18A1F512" w14:textId="40DE2E29" w:rsidR="00F83890" w:rsidRDefault="004001D3" w:rsidP="004E13A9">
      <w:pPr>
        <w:pStyle w:val="ListParagraph"/>
        <w:numPr>
          <w:ilvl w:val="0"/>
          <w:numId w:val="2"/>
        </w:numPr>
        <w:spacing w:after="0"/>
        <w:rPr>
          <w:rFonts w:ascii="Arial" w:hAnsi="Arial" w:cs="Arial"/>
          <w:sz w:val="24"/>
          <w:szCs w:val="24"/>
        </w:rPr>
      </w:pPr>
      <w:r w:rsidRPr="00120653">
        <w:rPr>
          <w:rFonts w:ascii="Arial" w:hAnsi="Arial" w:cs="Arial"/>
          <w:sz w:val="24"/>
          <w:szCs w:val="24"/>
        </w:rPr>
        <w:t>This guidance applies</w:t>
      </w:r>
      <w:r w:rsidR="00F61CE3" w:rsidRPr="00120653">
        <w:rPr>
          <w:rFonts w:ascii="Arial" w:hAnsi="Arial" w:cs="Arial"/>
          <w:sz w:val="24"/>
          <w:szCs w:val="24"/>
        </w:rPr>
        <w:t xml:space="preserve"> to both academic and professional s</w:t>
      </w:r>
      <w:r w:rsidR="00FB7C99" w:rsidRPr="00120653">
        <w:rPr>
          <w:rFonts w:ascii="Arial" w:hAnsi="Arial" w:cs="Arial"/>
          <w:sz w:val="24"/>
          <w:szCs w:val="24"/>
        </w:rPr>
        <w:t>upport roles</w:t>
      </w:r>
      <w:r w:rsidR="009F3881">
        <w:rPr>
          <w:rFonts w:ascii="Arial" w:hAnsi="Arial" w:cs="Arial"/>
          <w:sz w:val="24"/>
          <w:szCs w:val="24"/>
        </w:rPr>
        <w:t xml:space="preserve"> at t</w:t>
      </w:r>
      <w:r w:rsidRPr="00120653">
        <w:rPr>
          <w:rFonts w:ascii="Arial" w:hAnsi="Arial" w:cs="Arial"/>
          <w:sz w:val="24"/>
          <w:szCs w:val="24"/>
        </w:rPr>
        <w:t>he University of Worcester</w:t>
      </w:r>
      <w:r w:rsidR="00BA30A5" w:rsidRPr="00120653">
        <w:rPr>
          <w:rFonts w:ascii="Arial" w:hAnsi="Arial" w:cs="Arial"/>
          <w:sz w:val="24"/>
          <w:szCs w:val="24"/>
        </w:rPr>
        <w:t xml:space="preserve">, including existing </w:t>
      </w:r>
      <w:r w:rsidR="001F0A7D">
        <w:rPr>
          <w:rFonts w:ascii="Arial" w:hAnsi="Arial" w:cs="Arial"/>
          <w:sz w:val="24"/>
          <w:szCs w:val="24"/>
        </w:rPr>
        <w:t xml:space="preserve">employees </w:t>
      </w:r>
      <w:r w:rsidR="00BA30A5" w:rsidRPr="00120653">
        <w:rPr>
          <w:rFonts w:ascii="Arial" w:hAnsi="Arial" w:cs="Arial"/>
          <w:sz w:val="24"/>
          <w:szCs w:val="24"/>
        </w:rPr>
        <w:t>who are appointed to a</w:t>
      </w:r>
      <w:r w:rsidR="008E0EF2">
        <w:rPr>
          <w:rFonts w:ascii="Arial" w:hAnsi="Arial" w:cs="Arial"/>
          <w:sz w:val="24"/>
          <w:szCs w:val="24"/>
        </w:rPr>
        <w:t xml:space="preserve"> different </w:t>
      </w:r>
      <w:r w:rsidR="0028136C" w:rsidRPr="00120653">
        <w:rPr>
          <w:rFonts w:ascii="Arial" w:hAnsi="Arial" w:cs="Arial"/>
          <w:sz w:val="24"/>
          <w:szCs w:val="24"/>
        </w:rPr>
        <w:t xml:space="preserve">position </w:t>
      </w:r>
      <w:r w:rsidR="00443720">
        <w:rPr>
          <w:rFonts w:ascii="Arial" w:hAnsi="Arial" w:cs="Arial"/>
          <w:sz w:val="24"/>
          <w:szCs w:val="24"/>
        </w:rPr>
        <w:t>at</w:t>
      </w:r>
      <w:r w:rsidR="00B74A7F" w:rsidRPr="00120653">
        <w:rPr>
          <w:rFonts w:ascii="Arial" w:hAnsi="Arial" w:cs="Arial"/>
          <w:sz w:val="24"/>
          <w:szCs w:val="24"/>
        </w:rPr>
        <w:t xml:space="preserve"> the University. </w:t>
      </w:r>
    </w:p>
    <w:p w14:paraId="184367FE" w14:textId="77777777" w:rsidR="00120653" w:rsidRPr="00120653" w:rsidRDefault="00120653" w:rsidP="00120653">
      <w:pPr>
        <w:pStyle w:val="ListParagraph"/>
        <w:spacing w:after="0"/>
        <w:rPr>
          <w:rFonts w:ascii="Arial" w:hAnsi="Arial" w:cs="Arial"/>
          <w:sz w:val="24"/>
          <w:szCs w:val="24"/>
        </w:rPr>
      </w:pPr>
    </w:p>
    <w:p w14:paraId="6CF93471" w14:textId="77777777" w:rsidR="00F83890" w:rsidRDefault="005F5657" w:rsidP="00F83890">
      <w:pPr>
        <w:pStyle w:val="ListParagraph"/>
        <w:numPr>
          <w:ilvl w:val="0"/>
          <w:numId w:val="2"/>
        </w:numPr>
        <w:spacing w:after="0"/>
        <w:rPr>
          <w:rFonts w:ascii="Arial" w:hAnsi="Arial" w:cs="Arial"/>
          <w:sz w:val="24"/>
          <w:szCs w:val="24"/>
        </w:rPr>
      </w:pPr>
      <w:r w:rsidRPr="00F83890">
        <w:rPr>
          <w:rFonts w:ascii="Arial" w:hAnsi="Arial" w:cs="Arial"/>
          <w:sz w:val="24"/>
          <w:szCs w:val="24"/>
        </w:rPr>
        <w:t>The principle of e</w:t>
      </w:r>
      <w:r w:rsidR="007215CF" w:rsidRPr="00F83890">
        <w:rPr>
          <w:rFonts w:ascii="Arial" w:hAnsi="Arial" w:cs="Arial"/>
          <w:sz w:val="24"/>
          <w:szCs w:val="24"/>
        </w:rPr>
        <w:t>qual pa</w:t>
      </w:r>
      <w:r w:rsidRPr="00F83890">
        <w:rPr>
          <w:rFonts w:ascii="Arial" w:hAnsi="Arial" w:cs="Arial"/>
          <w:sz w:val="24"/>
          <w:szCs w:val="24"/>
        </w:rPr>
        <w:t xml:space="preserve">y for equal value work </w:t>
      </w:r>
      <w:r w:rsidR="00F83890" w:rsidRPr="00F83890">
        <w:rPr>
          <w:rFonts w:ascii="Arial" w:hAnsi="Arial" w:cs="Arial"/>
          <w:sz w:val="24"/>
          <w:szCs w:val="24"/>
        </w:rPr>
        <w:t xml:space="preserve">contained within the Equality </w:t>
      </w:r>
      <w:r w:rsidRPr="00F83890">
        <w:rPr>
          <w:rFonts w:ascii="Arial" w:hAnsi="Arial" w:cs="Arial"/>
          <w:sz w:val="24"/>
          <w:szCs w:val="24"/>
        </w:rPr>
        <w:t>Act</w:t>
      </w:r>
      <w:r w:rsidR="00F83890" w:rsidRPr="00F83890">
        <w:rPr>
          <w:rFonts w:ascii="Arial" w:hAnsi="Arial" w:cs="Arial"/>
          <w:sz w:val="24"/>
          <w:szCs w:val="24"/>
        </w:rPr>
        <w:t xml:space="preserve"> 2010</w:t>
      </w:r>
      <w:r w:rsidRPr="00F83890">
        <w:rPr>
          <w:rFonts w:ascii="Arial" w:hAnsi="Arial" w:cs="Arial"/>
          <w:sz w:val="24"/>
          <w:szCs w:val="24"/>
        </w:rPr>
        <w:t xml:space="preserve"> provid</w:t>
      </w:r>
      <w:r w:rsidR="00C90024" w:rsidRPr="00F83890">
        <w:rPr>
          <w:rFonts w:ascii="Arial" w:hAnsi="Arial" w:cs="Arial"/>
          <w:sz w:val="24"/>
          <w:szCs w:val="24"/>
        </w:rPr>
        <w:t xml:space="preserve">es the basis of this guidance. </w:t>
      </w:r>
    </w:p>
    <w:p w14:paraId="2F5DC398" w14:textId="77777777" w:rsidR="00136FEB" w:rsidRPr="00F83890" w:rsidRDefault="007215CF" w:rsidP="00F83890">
      <w:pPr>
        <w:spacing w:after="0"/>
        <w:rPr>
          <w:rFonts w:ascii="Arial" w:hAnsi="Arial" w:cs="Arial"/>
          <w:sz w:val="24"/>
          <w:szCs w:val="24"/>
        </w:rPr>
      </w:pPr>
      <w:r w:rsidRPr="00F83890">
        <w:rPr>
          <w:rFonts w:ascii="Arial" w:hAnsi="Arial" w:cs="Arial"/>
          <w:sz w:val="24"/>
          <w:szCs w:val="24"/>
        </w:rPr>
        <w:t xml:space="preserve"> </w:t>
      </w:r>
    </w:p>
    <w:p w14:paraId="3B257177" w14:textId="45FE1CA6" w:rsidR="000118D9" w:rsidRDefault="00AF215F" w:rsidP="00F83890">
      <w:pPr>
        <w:pStyle w:val="ListParagraph"/>
        <w:numPr>
          <w:ilvl w:val="0"/>
          <w:numId w:val="2"/>
        </w:numPr>
        <w:spacing w:after="0"/>
        <w:rPr>
          <w:rFonts w:ascii="Arial" w:hAnsi="Arial" w:cs="Arial"/>
          <w:sz w:val="24"/>
          <w:szCs w:val="24"/>
        </w:rPr>
      </w:pPr>
      <w:r w:rsidRPr="00F83890">
        <w:rPr>
          <w:rFonts w:ascii="Arial" w:hAnsi="Arial" w:cs="Arial"/>
          <w:sz w:val="24"/>
          <w:szCs w:val="24"/>
        </w:rPr>
        <w:t>The guidance is not intended to be prescriptive</w:t>
      </w:r>
      <w:r w:rsidR="001420FD" w:rsidRPr="00F83890">
        <w:rPr>
          <w:rFonts w:ascii="Arial" w:hAnsi="Arial" w:cs="Arial"/>
          <w:sz w:val="24"/>
          <w:szCs w:val="24"/>
        </w:rPr>
        <w:t xml:space="preserve">, </w:t>
      </w:r>
      <w:r w:rsidR="000118D9" w:rsidRPr="00F83890">
        <w:rPr>
          <w:rFonts w:ascii="Arial" w:hAnsi="Arial" w:cs="Arial"/>
          <w:sz w:val="24"/>
          <w:szCs w:val="24"/>
        </w:rPr>
        <w:t>but</w:t>
      </w:r>
      <w:r w:rsidR="001420FD" w:rsidRPr="00F83890">
        <w:rPr>
          <w:rFonts w:ascii="Arial" w:hAnsi="Arial" w:cs="Arial"/>
          <w:sz w:val="24"/>
          <w:szCs w:val="24"/>
        </w:rPr>
        <w:t xml:space="preserve"> offers a</w:t>
      </w:r>
      <w:r w:rsidRPr="00F83890">
        <w:rPr>
          <w:rFonts w:ascii="Arial" w:hAnsi="Arial" w:cs="Arial"/>
          <w:sz w:val="24"/>
          <w:szCs w:val="24"/>
        </w:rPr>
        <w:t xml:space="preserve"> framework for consistent and equitable treatment when determining starting salaries</w:t>
      </w:r>
      <w:r w:rsidR="001F0A7D">
        <w:rPr>
          <w:rFonts w:ascii="Arial" w:hAnsi="Arial" w:cs="Arial"/>
          <w:sz w:val="24"/>
          <w:szCs w:val="24"/>
        </w:rPr>
        <w:t>.</w:t>
      </w:r>
      <w:r w:rsidR="001420FD" w:rsidRPr="00F83890">
        <w:rPr>
          <w:rFonts w:ascii="Arial" w:hAnsi="Arial" w:cs="Arial"/>
          <w:sz w:val="24"/>
          <w:szCs w:val="24"/>
        </w:rPr>
        <w:t xml:space="preserve"> </w:t>
      </w:r>
      <w:r w:rsidR="006046A5" w:rsidRPr="00F83890">
        <w:rPr>
          <w:rFonts w:ascii="Arial" w:hAnsi="Arial" w:cs="Arial"/>
          <w:sz w:val="24"/>
          <w:szCs w:val="24"/>
        </w:rPr>
        <w:t xml:space="preserve">An element of flexibility exists as there is a need to offer </w:t>
      </w:r>
      <w:r w:rsidR="00541A5A">
        <w:rPr>
          <w:rFonts w:ascii="Arial" w:hAnsi="Arial" w:cs="Arial"/>
          <w:sz w:val="24"/>
          <w:szCs w:val="24"/>
        </w:rPr>
        <w:t xml:space="preserve">attractive </w:t>
      </w:r>
      <w:r w:rsidR="006046A5" w:rsidRPr="00F83890">
        <w:rPr>
          <w:rFonts w:ascii="Arial" w:hAnsi="Arial" w:cs="Arial"/>
          <w:sz w:val="24"/>
          <w:szCs w:val="24"/>
        </w:rPr>
        <w:t>salaries in a competitive market.</w:t>
      </w:r>
      <w:r w:rsidR="008064A6" w:rsidRPr="008064A6">
        <w:rPr>
          <w:rFonts w:ascii="Arial" w:hAnsi="Arial" w:cs="Arial"/>
          <w:sz w:val="24"/>
          <w:szCs w:val="24"/>
        </w:rPr>
        <w:t xml:space="preserve"> </w:t>
      </w:r>
    </w:p>
    <w:p w14:paraId="267EB481" w14:textId="77777777" w:rsidR="00EE7F9C" w:rsidRPr="00EE7F9C" w:rsidRDefault="00EE7F9C" w:rsidP="00EE7F9C">
      <w:pPr>
        <w:pStyle w:val="ListParagraph"/>
        <w:rPr>
          <w:rFonts w:ascii="Arial" w:hAnsi="Arial" w:cs="Arial"/>
          <w:sz w:val="24"/>
          <w:szCs w:val="24"/>
        </w:rPr>
      </w:pPr>
    </w:p>
    <w:p w14:paraId="65DF7D45" w14:textId="0716845F" w:rsidR="00EE7F9C" w:rsidRPr="00F83890" w:rsidRDefault="00EE7F9C" w:rsidP="00F83890">
      <w:pPr>
        <w:pStyle w:val="ListParagraph"/>
        <w:numPr>
          <w:ilvl w:val="0"/>
          <w:numId w:val="2"/>
        </w:numPr>
        <w:spacing w:after="0"/>
        <w:rPr>
          <w:rFonts w:ascii="Arial" w:hAnsi="Arial" w:cs="Arial"/>
          <w:sz w:val="24"/>
          <w:szCs w:val="24"/>
        </w:rPr>
      </w:pPr>
      <w:r>
        <w:rPr>
          <w:rFonts w:ascii="Arial" w:hAnsi="Arial" w:cs="Arial"/>
          <w:sz w:val="24"/>
          <w:szCs w:val="24"/>
        </w:rPr>
        <w:t>The Head o</w:t>
      </w:r>
      <w:r w:rsidR="00786E69">
        <w:rPr>
          <w:rFonts w:ascii="Arial" w:hAnsi="Arial" w:cs="Arial"/>
          <w:sz w:val="24"/>
          <w:szCs w:val="24"/>
        </w:rPr>
        <w:t>f Institute / Department will be</w:t>
      </w:r>
      <w:r>
        <w:rPr>
          <w:rFonts w:ascii="Arial" w:hAnsi="Arial" w:cs="Arial"/>
          <w:sz w:val="24"/>
          <w:szCs w:val="24"/>
        </w:rPr>
        <w:t xml:space="preserve"> responsible for determining the starting salar</w:t>
      </w:r>
      <w:r w:rsidR="001F0A7D">
        <w:rPr>
          <w:rFonts w:ascii="Arial" w:hAnsi="Arial" w:cs="Arial"/>
          <w:sz w:val="24"/>
          <w:szCs w:val="24"/>
        </w:rPr>
        <w:t>y of a candidate</w:t>
      </w:r>
      <w:r w:rsidR="00143742">
        <w:rPr>
          <w:rFonts w:ascii="Arial" w:hAnsi="Arial" w:cs="Arial"/>
          <w:sz w:val="24"/>
          <w:szCs w:val="24"/>
        </w:rPr>
        <w:t xml:space="preserve">, (subject to the usual approval of the Vice Chancellor for academic and band 7 and 8 professional support roles). </w:t>
      </w:r>
      <w:r w:rsidR="00786E69">
        <w:rPr>
          <w:rFonts w:ascii="Arial" w:hAnsi="Arial" w:cs="Arial"/>
          <w:sz w:val="24"/>
          <w:szCs w:val="24"/>
        </w:rPr>
        <w:t xml:space="preserve"> For professional support posts</w:t>
      </w:r>
      <w:r>
        <w:rPr>
          <w:rFonts w:ascii="Arial" w:hAnsi="Arial" w:cs="Arial"/>
          <w:sz w:val="24"/>
          <w:szCs w:val="24"/>
        </w:rPr>
        <w:t xml:space="preserve">, </w:t>
      </w:r>
      <w:r w:rsidR="00786E69">
        <w:rPr>
          <w:rFonts w:ascii="Arial" w:hAnsi="Arial" w:cs="Arial"/>
          <w:sz w:val="24"/>
          <w:szCs w:val="24"/>
        </w:rPr>
        <w:t>this responsibility may be devolved to the appointing manager, who is</w:t>
      </w:r>
      <w:r>
        <w:rPr>
          <w:rFonts w:ascii="Arial" w:hAnsi="Arial" w:cs="Arial"/>
          <w:sz w:val="24"/>
          <w:szCs w:val="24"/>
        </w:rPr>
        <w:t xml:space="preserve"> advised to </w:t>
      </w:r>
      <w:r w:rsidR="00022C90">
        <w:rPr>
          <w:rFonts w:ascii="Arial" w:hAnsi="Arial" w:cs="Arial"/>
          <w:sz w:val="24"/>
          <w:szCs w:val="24"/>
        </w:rPr>
        <w:t xml:space="preserve">seek </w:t>
      </w:r>
      <w:r w:rsidR="00786E69">
        <w:rPr>
          <w:rFonts w:ascii="Arial" w:hAnsi="Arial" w:cs="Arial"/>
          <w:sz w:val="24"/>
          <w:szCs w:val="24"/>
        </w:rPr>
        <w:t xml:space="preserve">confirmation from their Head of Institute / Department as required. </w:t>
      </w:r>
    </w:p>
    <w:p w14:paraId="49D5BA0D" w14:textId="77777777" w:rsidR="00F83890" w:rsidRDefault="00F83890" w:rsidP="00EE7F9C">
      <w:pPr>
        <w:rPr>
          <w:rFonts w:ascii="Arial" w:hAnsi="Arial" w:cs="Arial"/>
          <w:b/>
          <w:sz w:val="24"/>
          <w:szCs w:val="24"/>
        </w:rPr>
      </w:pPr>
    </w:p>
    <w:p w14:paraId="274F5379" w14:textId="77777777" w:rsidR="00F83890" w:rsidRPr="00F83890" w:rsidRDefault="000118D9" w:rsidP="00F83890">
      <w:pPr>
        <w:rPr>
          <w:rFonts w:ascii="Arial" w:hAnsi="Arial" w:cs="Arial"/>
          <w:b/>
          <w:sz w:val="24"/>
          <w:szCs w:val="24"/>
        </w:rPr>
      </w:pPr>
      <w:r w:rsidRPr="00F83890">
        <w:rPr>
          <w:rFonts w:ascii="Arial" w:hAnsi="Arial" w:cs="Arial"/>
          <w:b/>
          <w:sz w:val="24"/>
          <w:szCs w:val="24"/>
        </w:rPr>
        <w:t xml:space="preserve">Equal Pay </w:t>
      </w:r>
      <w:r w:rsidR="00C90024" w:rsidRPr="00F83890">
        <w:rPr>
          <w:rFonts w:ascii="Arial" w:hAnsi="Arial" w:cs="Arial"/>
          <w:b/>
          <w:sz w:val="24"/>
          <w:szCs w:val="24"/>
        </w:rPr>
        <w:t>Issues</w:t>
      </w:r>
      <w:r w:rsidR="00F83890" w:rsidRPr="00F83890">
        <w:rPr>
          <w:rFonts w:ascii="Arial" w:hAnsi="Arial" w:cs="Arial"/>
          <w:b/>
          <w:sz w:val="24"/>
          <w:szCs w:val="24"/>
        </w:rPr>
        <w:t xml:space="preserve"> </w:t>
      </w:r>
    </w:p>
    <w:p w14:paraId="29421F20" w14:textId="1EDAE010" w:rsidR="00136FEB" w:rsidRDefault="00136FEB" w:rsidP="00143742">
      <w:pPr>
        <w:pStyle w:val="ListParagraph"/>
        <w:numPr>
          <w:ilvl w:val="0"/>
          <w:numId w:val="2"/>
        </w:numPr>
        <w:rPr>
          <w:rFonts w:ascii="Arial" w:hAnsi="Arial" w:cs="Arial"/>
          <w:sz w:val="24"/>
          <w:szCs w:val="24"/>
        </w:rPr>
      </w:pPr>
      <w:r w:rsidRPr="00F83890">
        <w:rPr>
          <w:rFonts w:ascii="Arial" w:hAnsi="Arial" w:cs="Arial"/>
          <w:sz w:val="24"/>
          <w:szCs w:val="24"/>
        </w:rPr>
        <w:t>Care sho</w:t>
      </w:r>
      <w:r w:rsidR="00EE7F9C">
        <w:rPr>
          <w:rFonts w:ascii="Arial" w:hAnsi="Arial" w:cs="Arial"/>
          <w:sz w:val="24"/>
          <w:szCs w:val="24"/>
        </w:rPr>
        <w:t>uld be taken to ensure that a</w:t>
      </w:r>
      <w:r w:rsidRPr="00F83890">
        <w:rPr>
          <w:rFonts w:ascii="Arial" w:hAnsi="Arial" w:cs="Arial"/>
          <w:sz w:val="24"/>
          <w:szCs w:val="24"/>
        </w:rPr>
        <w:t xml:space="preserve"> salary offer can be objectively justified</w:t>
      </w:r>
      <w:r w:rsidR="00342969" w:rsidRPr="00F83890">
        <w:rPr>
          <w:rFonts w:ascii="Arial" w:hAnsi="Arial" w:cs="Arial"/>
          <w:sz w:val="24"/>
          <w:szCs w:val="24"/>
        </w:rPr>
        <w:t xml:space="preserve"> and is</w:t>
      </w:r>
      <w:r w:rsidRPr="00F83890">
        <w:rPr>
          <w:rFonts w:ascii="Arial" w:hAnsi="Arial" w:cs="Arial"/>
          <w:sz w:val="24"/>
          <w:szCs w:val="24"/>
        </w:rPr>
        <w:t xml:space="preserve"> based on a careful consideration of relevant criteria (see </w:t>
      </w:r>
      <w:r w:rsidR="00443720">
        <w:rPr>
          <w:rFonts w:ascii="Arial" w:hAnsi="Arial" w:cs="Arial"/>
          <w:sz w:val="24"/>
          <w:szCs w:val="24"/>
        </w:rPr>
        <w:t xml:space="preserve">11 </w:t>
      </w:r>
      <w:r w:rsidRPr="00F83890">
        <w:rPr>
          <w:rFonts w:ascii="Arial" w:hAnsi="Arial" w:cs="Arial"/>
          <w:sz w:val="24"/>
          <w:szCs w:val="24"/>
        </w:rPr>
        <w:t xml:space="preserve">below). </w:t>
      </w:r>
      <w:r w:rsidR="001420FD" w:rsidRPr="00F83890">
        <w:rPr>
          <w:rFonts w:ascii="Arial" w:hAnsi="Arial" w:cs="Arial"/>
          <w:sz w:val="24"/>
          <w:szCs w:val="24"/>
        </w:rPr>
        <w:t>Inequalities/ anomalies caused by s</w:t>
      </w:r>
      <w:r w:rsidRPr="00F83890">
        <w:rPr>
          <w:rFonts w:ascii="Arial" w:hAnsi="Arial" w:cs="Arial"/>
          <w:sz w:val="24"/>
          <w:szCs w:val="24"/>
        </w:rPr>
        <w:t>alary different</w:t>
      </w:r>
      <w:r w:rsidR="00342969" w:rsidRPr="00F83890">
        <w:rPr>
          <w:rFonts w:ascii="Arial" w:hAnsi="Arial" w:cs="Arial"/>
          <w:sz w:val="24"/>
          <w:szCs w:val="24"/>
        </w:rPr>
        <w:t xml:space="preserve">ials </w:t>
      </w:r>
      <w:r w:rsidRPr="00F83890">
        <w:rPr>
          <w:rFonts w:ascii="Arial" w:hAnsi="Arial" w:cs="Arial"/>
          <w:sz w:val="24"/>
          <w:szCs w:val="24"/>
        </w:rPr>
        <w:t xml:space="preserve">not based on objective criteria may result in a grievance </w:t>
      </w:r>
      <w:r w:rsidR="00342969" w:rsidRPr="00F83890">
        <w:rPr>
          <w:rFonts w:ascii="Arial" w:hAnsi="Arial" w:cs="Arial"/>
          <w:sz w:val="24"/>
          <w:szCs w:val="24"/>
        </w:rPr>
        <w:t>from</w:t>
      </w:r>
      <w:r w:rsidRPr="00F83890">
        <w:rPr>
          <w:rFonts w:ascii="Arial" w:hAnsi="Arial" w:cs="Arial"/>
          <w:sz w:val="24"/>
          <w:szCs w:val="24"/>
        </w:rPr>
        <w:t xml:space="preserve"> </w:t>
      </w:r>
      <w:r w:rsidR="001420FD" w:rsidRPr="00F83890">
        <w:rPr>
          <w:rFonts w:ascii="Arial" w:hAnsi="Arial" w:cs="Arial"/>
          <w:sz w:val="24"/>
          <w:szCs w:val="24"/>
        </w:rPr>
        <w:t>a</w:t>
      </w:r>
      <w:r w:rsidR="001F0A7D">
        <w:rPr>
          <w:rFonts w:ascii="Arial" w:hAnsi="Arial" w:cs="Arial"/>
          <w:sz w:val="24"/>
          <w:szCs w:val="24"/>
        </w:rPr>
        <w:t>n</w:t>
      </w:r>
      <w:r w:rsidR="00342969" w:rsidRPr="00F83890">
        <w:rPr>
          <w:rFonts w:ascii="Arial" w:hAnsi="Arial" w:cs="Arial"/>
          <w:sz w:val="24"/>
          <w:szCs w:val="24"/>
        </w:rPr>
        <w:t xml:space="preserve"> </w:t>
      </w:r>
      <w:r w:rsidR="001F0A7D">
        <w:rPr>
          <w:rFonts w:ascii="Arial" w:hAnsi="Arial" w:cs="Arial"/>
          <w:sz w:val="24"/>
          <w:szCs w:val="24"/>
        </w:rPr>
        <w:t xml:space="preserve">employee </w:t>
      </w:r>
      <w:r w:rsidR="00342969" w:rsidRPr="00F83890">
        <w:rPr>
          <w:rFonts w:ascii="Arial" w:hAnsi="Arial" w:cs="Arial"/>
          <w:sz w:val="24"/>
          <w:szCs w:val="24"/>
        </w:rPr>
        <w:t xml:space="preserve">carrying out the same </w:t>
      </w:r>
      <w:r w:rsidR="00EE7F9C">
        <w:rPr>
          <w:rFonts w:ascii="Arial" w:hAnsi="Arial" w:cs="Arial"/>
          <w:sz w:val="24"/>
          <w:szCs w:val="24"/>
        </w:rPr>
        <w:t xml:space="preserve">or similar </w:t>
      </w:r>
      <w:r w:rsidR="00342969" w:rsidRPr="00F83890">
        <w:rPr>
          <w:rFonts w:ascii="Arial" w:hAnsi="Arial" w:cs="Arial"/>
          <w:sz w:val="24"/>
          <w:szCs w:val="24"/>
        </w:rPr>
        <w:t xml:space="preserve">role, </w:t>
      </w:r>
      <w:r w:rsidR="000118D9" w:rsidRPr="00F83890">
        <w:rPr>
          <w:rFonts w:ascii="Arial" w:hAnsi="Arial" w:cs="Arial"/>
          <w:sz w:val="24"/>
          <w:szCs w:val="24"/>
        </w:rPr>
        <w:t xml:space="preserve">or a </w:t>
      </w:r>
      <w:r w:rsidRPr="00F83890">
        <w:rPr>
          <w:rFonts w:ascii="Arial" w:hAnsi="Arial" w:cs="Arial"/>
          <w:sz w:val="24"/>
          <w:szCs w:val="24"/>
        </w:rPr>
        <w:t>potential chall</w:t>
      </w:r>
      <w:r w:rsidR="00143742">
        <w:rPr>
          <w:rFonts w:ascii="Arial" w:hAnsi="Arial" w:cs="Arial"/>
          <w:sz w:val="24"/>
          <w:szCs w:val="24"/>
        </w:rPr>
        <w:t>enge of discriminatory practice.</w:t>
      </w:r>
    </w:p>
    <w:p w14:paraId="68B0E41E" w14:textId="77777777" w:rsidR="00143742" w:rsidRPr="00F83890" w:rsidRDefault="00143742" w:rsidP="00143742">
      <w:pPr>
        <w:pStyle w:val="ListParagraph"/>
        <w:rPr>
          <w:rFonts w:ascii="Arial" w:hAnsi="Arial" w:cs="Arial"/>
          <w:sz w:val="24"/>
          <w:szCs w:val="24"/>
        </w:rPr>
      </w:pPr>
    </w:p>
    <w:p w14:paraId="652C3667" w14:textId="77777777" w:rsidR="00F83890" w:rsidRDefault="005C6D18" w:rsidP="00F83890">
      <w:pPr>
        <w:pStyle w:val="ListParagraph"/>
        <w:numPr>
          <w:ilvl w:val="0"/>
          <w:numId w:val="2"/>
        </w:numPr>
        <w:spacing w:after="0"/>
        <w:rPr>
          <w:rFonts w:ascii="Arial" w:hAnsi="Arial" w:cs="Arial"/>
          <w:sz w:val="24"/>
          <w:szCs w:val="24"/>
        </w:rPr>
      </w:pPr>
      <w:r w:rsidRPr="00F83890">
        <w:rPr>
          <w:rFonts w:ascii="Arial" w:hAnsi="Arial" w:cs="Arial"/>
          <w:sz w:val="24"/>
          <w:szCs w:val="24"/>
        </w:rPr>
        <w:t>T</w:t>
      </w:r>
      <w:r w:rsidR="007215CF" w:rsidRPr="00F83890">
        <w:rPr>
          <w:rFonts w:ascii="Arial" w:hAnsi="Arial" w:cs="Arial"/>
          <w:sz w:val="24"/>
          <w:szCs w:val="24"/>
        </w:rPr>
        <w:t xml:space="preserve">here is some evidence that women are more reluctant to negotiate on </w:t>
      </w:r>
      <w:r w:rsidRPr="00F83890">
        <w:rPr>
          <w:rFonts w:ascii="Arial" w:hAnsi="Arial" w:cs="Arial"/>
          <w:sz w:val="24"/>
          <w:szCs w:val="24"/>
        </w:rPr>
        <w:t>sal</w:t>
      </w:r>
      <w:r w:rsidR="000118D9" w:rsidRPr="00F83890">
        <w:rPr>
          <w:rFonts w:ascii="Arial" w:hAnsi="Arial" w:cs="Arial"/>
          <w:sz w:val="24"/>
          <w:szCs w:val="24"/>
        </w:rPr>
        <w:t>ary than men. App</w:t>
      </w:r>
      <w:r w:rsidR="00F83890" w:rsidRPr="00F83890">
        <w:rPr>
          <w:rFonts w:ascii="Arial" w:hAnsi="Arial" w:cs="Arial"/>
          <w:sz w:val="24"/>
          <w:szCs w:val="24"/>
        </w:rPr>
        <w:t>ointing managers should be mindful</w:t>
      </w:r>
      <w:r w:rsidR="000118D9" w:rsidRPr="00F83890">
        <w:rPr>
          <w:rFonts w:ascii="Arial" w:hAnsi="Arial" w:cs="Arial"/>
          <w:sz w:val="24"/>
          <w:szCs w:val="24"/>
        </w:rPr>
        <w:t xml:space="preserve"> of this potential cause </w:t>
      </w:r>
      <w:r w:rsidR="00F83890" w:rsidRPr="00F83890">
        <w:rPr>
          <w:rFonts w:ascii="Arial" w:hAnsi="Arial" w:cs="Arial"/>
          <w:sz w:val="24"/>
          <w:szCs w:val="24"/>
        </w:rPr>
        <w:t>for pay inequality.</w:t>
      </w:r>
    </w:p>
    <w:p w14:paraId="6C2FEFA6" w14:textId="77777777" w:rsidR="00F83890" w:rsidRPr="00F83890" w:rsidRDefault="00F83890" w:rsidP="00F83890">
      <w:pPr>
        <w:spacing w:after="0"/>
        <w:rPr>
          <w:rFonts w:ascii="Arial" w:hAnsi="Arial" w:cs="Arial"/>
          <w:sz w:val="24"/>
          <w:szCs w:val="24"/>
        </w:rPr>
      </w:pPr>
    </w:p>
    <w:p w14:paraId="0609922B" w14:textId="77777777" w:rsidR="00136FEB" w:rsidRPr="00F83890" w:rsidRDefault="00F83890" w:rsidP="00F83890">
      <w:pPr>
        <w:pStyle w:val="ListParagraph"/>
        <w:numPr>
          <w:ilvl w:val="0"/>
          <w:numId w:val="2"/>
        </w:numPr>
        <w:spacing w:after="0"/>
        <w:rPr>
          <w:rFonts w:ascii="Arial" w:hAnsi="Arial" w:cs="Arial"/>
          <w:sz w:val="24"/>
          <w:szCs w:val="24"/>
        </w:rPr>
      </w:pPr>
      <w:r w:rsidRPr="00F83890">
        <w:rPr>
          <w:rFonts w:ascii="Arial" w:hAnsi="Arial" w:cs="Arial"/>
          <w:sz w:val="24"/>
          <w:szCs w:val="24"/>
        </w:rPr>
        <w:t>The c</w:t>
      </w:r>
      <w:r w:rsidR="007215CF" w:rsidRPr="00F83890">
        <w:rPr>
          <w:rFonts w:ascii="Arial" w:hAnsi="Arial" w:cs="Arial"/>
          <w:sz w:val="24"/>
          <w:szCs w:val="24"/>
        </w:rPr>
        <w:t>urrent or previous salary</w:t>
      </w:r>
      <w:r w:rsidRPr="00F83890">
        <w:rPr>
          <w:rFonts w:ascii="Arial" w:hAnsi="Arial" w:cs="Arial"/>
          <w:sz w:val="24"/>
          <w:szCs w:val="24"/>
        </w:rPr>
        <w:t xml:space="preserve"> of a candidate</w:t>
      </w:r>
      <w:r w:rsidR="007215CF" w:rsidRPr="00F83890">
        <w:rPr>
          <w:rFonts w:ascii="Arial" w:hAnsi="Arial" w:cs="Arial"/>
          <w:sz w:val="24"/>
          <w:szCs w:val="24"/>
        </w:rPr>
        <w:t xml:space="preserve"> should be considered</w:t>
      </w:r>
      <w:r w:rsidRPr="00F83890">
        <w:rPr>
          <w:rFonts w:ascii="Arial" w:hAnsi="Arial" w:cs="Arial"/>
          <w:sz w:val="24"/>
          <w:szCs w:val="24"/>
        </w:rPr>
        <w:t xml:space="preserve"> when making a salary offer</w:t>
      </w:r>
      <w:r w:rsidR="000118D9" w:rsidRPr="00F83890">
        <w:rPr>
          <w:rFonts w:ascii="Arial" w:hAnsi="Arial" w:cs="Arial"/>
          <w:sz w:val="24"/>
          <w:szCs w:val="24"/>
        </w:rPr>
        <w:t>,</w:t>
      </w:r>
      <w:r w:rsidR="007215CF" w:rsidRPr="00F83890">
        <w:rPr>
          <w:rFonts w:ascii="Arial" w:hAnsi="Arial" w:cs="Arial"/>
          <w:sz w:val="24"/>
          <w:szCs w:val="24"/>
        </w:rPr>
        <w:t xml:space="preserve"> but simply matching or improving someone’s</w:t>
      </w:r>
      <w:r w:rsidR="0013229A">
        <w:rPr>
          <w:rFonts w:ascii="Arial" w:hAnsi="Arial" w:cs="Arial"/>
          <w:sz w:val="24"/>
          <w:szCs w:val="24"/>
        </w:rPr>
        <w:t xml:space="preserve"> salary could be discriminatory and may perpetuate continuations in pay inequality.</w:t>
      </w:r>
      <w:r w:rsidR="00AB0CF1">
        <w:rPr>
          <w:rFonts w:ascii="Arial" w:hAnsi="Arial" w:cs="Arial"/>
          <w:sz w:val="24"/>
          <w:szCs w:val="24"/>
        </w:rPr>
        <w:t xml:space="preserve"> An example of this </w:t>
      </w:r>
      <w:r w:rsidR="00BE6760">
        <w:rPr>
          <w:rFonts w:ascii="Arial" w:hAnsi="Arial" w:cs="Arial"/>
          <w:sz w:val="24"/>
          <w:szCs w:val="24"/>
        </w:rPr>
        <w:t xml:space="preserve">is </w:t>
      </w:r>
      <w:r w:rsidR="00AB0CF1">
        <w:rPr>
          <w:rFonts w:ascii="Arial" w:hAnsi="Arial" w:cs="Arial"/>
          <w:sz w:val="24"/>
          <w:szCs w:val="24"/>
        </w:rPr>
        <w:t xml:space="preserve">where </w:t>
      </w:r>
      <w:r w:rsidR="00120653">
        <w:rPr>
          <w:rFonts w:ascii="Arial" w:hAnsi="Arial" w:cs="Arial"/>
          <w:sz w:val="24"/>
          <w:szCs w:val="24"/>
        </w:rPr>
        <w:t xml:space="preserve">a candidate </w:t>
      </w:r>
      <w:r w:rsidR="00AB0CF1">
        <w:rPr>
          <w:rFonts w:ascii="Arial" w:hAnsi="Arial" w:cs="Arial"/>
          <w:sz w:val="24"/>
          <w:szCs w:val="24"/>
        </w:rPr>
        <w:t xml:space="preserve">whose salary </w:t>
      </w:r>
      <w:r w:rsidR="00120653">
        <w:rPr>
          <w:rFonts w:ascii="Arial" w:hAnsi="Arial" w:cs="Arial"/>
          <w:sz w:val="24"/>
          <w:szCs w:val="24"/>
        </w:rPr>
        <w:t>has not</w:t>
      </w:r>
      <w:r w:rsidR="00AB0CF1">
        <w:rPr>
          <w:rFonts w:ascii="Arial" w:hAnsi="Arial" w:cs="Arial"/>
          <w:sz w:val="24"/>
          <w:szCs w:val="24"/>
        </w:rPr>
        <w:t xml:space="preserve"> progressed due to a </w:t>
      </w:r>
      <w:r w:rsidR="00BE6760">
        <w:rPr>
          <w:rFonts w:ascii="Arial" w:hAnsi="Arial" w:cs="Arial"/>
          <w:sz w:val="24"/>
          <w:szCs w:val="24"/>
        </w:rPr>
        <w:t xml:space="preserve">career break to bring up </w:t>
      </w:r>
      <w:r w:rsidR="00120653">
        <w:rPr>
          <w:rFonts w:ascii="Arial" w:hAnsi="Arial" w:cs="Arial"/>
          <w:sz w:val="24"/>
          <w:szCs w:val="24"/>
        </w:rPr>
        <w:t xml:space="preserve">children </w:t>
      </w:r>
      <w:r w:rsidR="00AB0CF1">
        <w:rPr>
          <w:rFonts w:ascii="Arial" w:hAnsi="Arial" w:cs="Arial"/>
          <w:sz w:val="24"/>
          <w:szCs w:val="24"/>
        </w:rPr>
        <w:t xml:space="preserve">is offered a salary matched to their </w:t>
      </w:r>
      <w:r w:rsidR="00120653">
        <w:rPr>
          <w:rFonts w:ascii="Arial" w:hAnsi="Arial" w:cs="Arial"/>
          <w:sz w:val="24"/>
          <w:szCs w:val="24"/>
        </w:rPr>
        <w:t xml:space="preserve">most recent role, but </w:t>
      </w:r>
      <w:r w:rsidR="00BE6760">
        <w:rPr>
          <w:rFonts w:ascii="Arial" w:hAnsi="Arial" w:cs="Arial"/>
          <w:sz w:val="24"/>
          <w:szCs w:val="24"/>
        </w:rPr>
        <w:t xml:space="preserve">they </w:t>
      </w:r>
      <w:r w:rsidR="00120653">
        <w:rPr>
          <w:rFonts w:ascii="Arial" w:hAnsi="Arial" w:cs="Arial"/>
          <w:sz w:val="24"/>
          <w:szCs w:val="24"/>
        </w:rPr>
        <w:t xml:space="preserve">may possess as many valuable skills and experience </w:t>
      </w:r>
      <w:r w:rsidR="00AB0CF1">
        <w:rPr>
          <w:rFonts w:ascii="Arial" w:hAnsi="Arial" w:cs="Arial"/>
          <w:sz w:val="24"/>
          <w:szCs w:val="24"/>
        </w:rPr>
        <w:t>as some</w:t>
      </w:r>
      <w:r w:rsidR="00BE6760">
        <w:rPr>
          <w:rFonts w:ascii="Arial" w:hAnsi="Arial" w:cs="Arial"/>
          <w:sz w:val="24"/>
          <w:szCs w:val="24"/>
        </w:rPr>
        <w:t>one who has not had a</w:t>
      </w:r>
      <w:r w:rsidR="00120653">
        <w:rPr>
          <w:rFonts w:ascii="Arial" w:hAnsi="Arial" w:cs="Arial"/>
          <w:sz w:val="24"/>
          <w:szCs w:val="24"/>
        </w:rPr>
        <w:t xml:space="preserve"> career break</w:t>
      </w:r>
      <w:r w:rsidR="00AB0CF1">
        <w:rPr>
          <w:rFonts w:ascii="Arial" w:hAnsi="Arial" w:cs="Arial"/>
          <w:sz w:val="24"/>
          <w:szCs w:val="24"/>
        </w:rPr>
        <w:t>.</w:t>
      </w:r>
    </w:p>
    <w:p w14:paraId="38392D99" w14:textId="77777777" w:rsidR="00F83890" w:rsidRDefault="00F83890" w:rsidP="00F83890">
      <w:pPr>
        <w:spacing w:after="0"/>
        <w:rPr>
          <w:rFonts w:ascii="Arial" w:hAnsi="Arial" w:cs="Arial"/>
          <w:b/>
          <w:sz w:val="24"/>
          <w:szCs w:val="24"/>
        </w:rPr>
      </w:pPr>
    </w:p>
    <w:p w14:paraId="04972658" w14:textId="77777777" w:rsidR="007215CF" w:rsidRPr="00F83890" w:rsidRDefault="007215CF" w:rsidP="00F83890">
      <w:pPr>
        <w:spacing w:after="0"/>
        <w:rPr>
          <w:rFonts w:ascii="Arial" w:hAnsi="Arial" w:cs="Arial"/>
          <w:b/>
          <w:sz w:val="24"/>
          <w:szCs w:val="24"/>
        </w:rPr>
      </w:pPr>
      <w:r w:rsidRPr="00F83890">
        <w:rPr>
          <w:rFonts w:ascii="Arial" w:hAnsi="Arial" w:cs="Arial"/>
          <w:b/>
          <w:sz w:val="24"/>
          <w:szCs w:val="24"/>
        </w:rPr>
        <w:t>Advertising salary ranges</w:t>
      </w:r>
    </w:p>
    <w:p w14:paraId="35A6B6B1" w14:textId="77777777" w:rsidR="00F83890" w:rsidRDefault="00F83890" w:rsidP="00F83890">
      <w:pPr>
        <w:spacing w:after="0"/>
        <w:rPr>
          <w:rFonts w:ascii="Arial" w:hAnsi="Arial" w:cs="Arial"/>
          <w:sz w:val="24"/>
          <w:szCs w:val="24"/>
        </w:rPr>
      </w:pPr>
    </w:p>
    <w:p w14:paraId="57BB6B08" w14:textId="77777777" w:rsidR="007215CF" w:rsidRDefault="007215CF" w:rsidP="00F83890">
      <w:pPr>
        <w:pStyle w:val="ListParagraph"/>
        <w:numPr>
          <w:ilvl w:val="0"/>
          <w:numId w:val="2"/>
        </w:numPr>
        <w:spacing w:after="0"/>
        <w:rPr>
          <w:rFonts w:ascii="Arial" w:hAnsi="Arial" w:cs="Arial"/>
          <w:sz w:val="24"/>
          <w:szCs w:val="24"/>
        </w:rPr>
      </w:pPr>
      <w:r w:rsidRPr="00F83890">
        <w:rPr>
          <w:rFonts w:ascii="Arial" w:hAnsi="Arial" w:cs="Arial"/>
          <w:sz w:val="24"/>
          <w:szCs w:val="24"/>
        </w:rPr>
        <w:t xml:space="preserve">Posts will be </w:t>
      </w:r>
      <w:r w:rsidR="0025208B" w:rsidRPr="00F83890">
        <w:rPr>
          <w:rFonts w:ascii="Arial" w:hAnsi="Arial" w:cs="Arial"/>
          <w:sz w:val="24"/>
          <w:szCs w:val="24"/>
        </w:rPr>
        <w:t>advertised quoting the full salary range</w:t>
      </w:r>
      <w:r w:rsidR="00F83890">
        <w:rPr>
          <w:rFonts w:ascii="Arial" w:hAnsi="Arial" w:cs="Arial"/>
          <w:sz w:val="24"/>
          <w:szCs w:val="24"/>
        </w:rPr>
        <w:t xml:space="preserve"> for the relevant pay band, including </w:t>
      </w:r>
      <w:r w:rsidR="00F1766E" w:rsidRPr="00F83890">
        <w:rPr>
          <w:rFonts w:ascii="Arial" w:hAnsi="Arial" w:cs="Arial"/>
          <w:sz w:val="24"/>
          <w:szCs w:val="24"/>
        </w:rPr>
        <w:t xml:space="preserve">contribution points </w:t>
      </w:r>
      <w:proofErr w:type="spellStart"/>
      <w:r w:rsidR="0025208B" w:rsidRPr="00F83890">
        <w:rPr>
          <w:rFonts w:ascii="Arial" w:hAnsi="Arial" w:cs="Arial"/>
          <w:sz w:val="24"/>
          <w:szCs w:val="24"/>
        </w:rPr>
        <w:t>eg</w:t>
      </w:r>
      <w:proofErr w:type="spellEnd"/>
      <w:r w:rsidR="0025208B" w:rsidRPr="00F83890">
        <w:rPr>
          <w:rFonts w:ascii="Arial" w:hAnsi="Arial" w:cs="Arial"/>
          <w:sz w:val="24"/>
          <w:szCs w:val="24"/>
        </w:rPr>
        <w:t xml:space="preserve"> </w:t>
      </w:r>
      <w:r w:rsidR="00F1766E" w:rsidRPr="00F83890">
        <w:rPr>
          <w:rFonts w:ascii="Arial" w:hAnsi="Arial" w:cs="Arial"/>
          <w:sz w:val="24"/>
          <w:szCs w:val="24"/>
        </w:rPr>
        <w:t>‘</w:t>
      </w:r>
      <w:r w:rsidR="0025208B" w:rsidRPr="00F83890">
        <w:rPr>
          <w:rFonts w:ascii="Arial" w:hAnsi="Arial" w:cs="Arial"/>
          <w:sz w:val="24"/>
          <w:szCs w:val="24"/>
        </w:rPr>
        <w:t>£</w:t>
      </w:r>
      <w:r w:rsidR="00F83890">
        <w:rPr>
          <w:rFonts w:ascii="Arial" w:hAnsi="Arial" w:cs="Arial"/>
          <w:sz w:val="24"/>
          <w:szCs w:val="24"/>
        </w:rPr>
        <w:t>…</w:t>
      </w:r>
      <w:r w:rsidR="0025208B" w:rsidRPr="00F83890">
        <w:rPr>
          <w:rFonts w:ascii="Arial" w:hAnsi="Arial" w:cs="Arial"/>
          <w:sz w:val="24"/>
          <w:szCs w:val="24"/>
        </w:rPr>
        <w:t xml:space="preserve"> to £</w:t>
      </w:r>
      <w:r w:rsidR="00F83890">
        <w:rPr>
          <w:rFonts w:ascii="Arial" w:hAnsi="Arial" w:cs="Arial"/>
          <w:sz w:val="24"/>
          <w:szCs w:val="24"/>
        </w:rPr>
        <w:t>…</w:t>
      </w:r>
      <w:r w:rsidR="0025208B" w:rsidRPr="00F83890">
        <w:rPr>
          <w:rFonts w:ascii="Arial" w:hAnsi="Arial" w:cs="Arial"/>
          <w:sz w:val="24"/>
          <w:szCs w:val="24"/>
        </w:rPr>
        <w:t xml:space="preserve"> a year, with opportunity to progress </w:t>
      </w:r>
      <w:r w:rsidR="0025208B" w:rsidRPr="00F83890">
        <w:rPr>
          <w:rFonts w:ascii="Arial" w:hAnsi="Arial" w:cs="Arial"/>
          <w:sz w:val="24"/>
          <w:szCs w:val="24"/>
        </w:rPr>
        <w:lastRenderedPageBreak/>
        <w:t>to £</w:t>
      </w:r>
      <w:r w:rsidR="00F83890">
        <w:rPr>
          <w:rFonts w:ascii="Arial" w:hAnsi="Arial" w:cs="Arial"/>
          <w:sz w:val="24"/>
          <w:szCs w:val="24"/>
        </w:rPr>
        <w:t>….</w:t>
      </w:r>
      <w:r w:rsidR="0025208B" w:rsidRPr="00F83890">
        <w:rPr>
          <w:rFonts w:ascii="Arial" w:hAnsi="Arial" w:cs="Arial"/>
          <w:sz w:val="24"/>
          <w:szCs w:val="24"/>
        </w:rPr>
        <w:t xml:space="preserve"> a year</w:t>
      </w:r>
      <w:r w:rsidR="00F1766E" w:rsidRPr="00F83890">
        <w:rPr>
          <w:rFonts w:ascii="Arial" w:hAnsi="Arial" w:cs="Arial"/>
          <w:sz w:val="24"/>
          <w:szCs w:val="24"/>
        </w:rPr>
        <w:t>’</w:t>
      </w:r>
      <w:r w:rsidR="0025208B" w:rsidRPr="00F83890">
        <w:rPr>
          <w:rFonts w:ascii="Arial" w:hAnsi="Arial" w:cs="Arial"/>
          <w:sz w:val="24"/>
          <w:szCs w:val="24"/>
        </w:rPr>
        <w:t xml:space="preserve">. </w:t>
      </w:r>
      <w:r w:rsidR="00F1766E" w:rsidRPr="00F83890">
        <w:rPr>
          <w:rFonts w:ascii="Arial" w:hAnsi="Arial" w:cs="Arial"/>
          <w:sz w:val="24"/>
          <w:szCs w:val="24"/>
        </w:rPr>
        <w:t xml:space="preserve">This </w:t>
      </w:r>
      <w:r w:rsidR="00EE7F9C">
        <w:rPr>
          <w:rFonts w:ascii="Arial" w:hAnsi="Arial" w:cs="Arial"/>
          <w:sz w:val="24"/>
          <w:szCs w:val="24"/>
        </w:rPr>
        <w:t xml:space="preserve">makes clear to applicants </w:t>
      </w:r>
      <w:r w:rsidR="00F1766E" w:rsidRPr="00F83890">
        <w:rPr>
          <w:rFonts w:ascii="Arial" w:hAnsi="Arial" w:cs="Arial"/>
          <w:sz w:val="24"/>
          <w:szCs w:val="24"/>
        </w:rPr>
        <w:t xml:space="preserve">the lower and upper boundaries of the </w:t>
      </w:r>
      <w:r w:rsidR="00F83890">
        <w:rPr>
          <w:rFonts w:ascii="Arial" w:hAnsi="Arial" w:cs="Arial"/>
          <w:sz w:val="24"/>
          <w:szCs w:val="24"/>
        </w:rPr>
        <w:t xml:space="preserve">main pay band </w:t>
      </w:r>
      <w:r w:rsidR="00F1766E" w:rsidRPr="00F83890">
        <w:rPr>
          <w:rFonts w:ascii="Arial" w:hAnsi="Arial" w:cs="Arial"/>
          <w:sz w:val="24"/>
          <w:szCs w:val="24"/>
        </w:rPr>
        <w:t xml:space="preserve">and </w:t>
      </w:r>
      <w:r w:rsidR="00F83890">
        <w:rPr>
          <w:rFonts w:ascii="Arial" w:hAnsi="Arial" w:cs="Arial"/>
          <w:sz w:val="24"/>
          <w:szCs w:val="24"/>
        </w:rPr>
        <w:t xml:space="preserve">the </w:t>
      </w:r>
      <w:r w:rsidR="00F1766E" w:rsidRPr="00F83890">
        <w:rPr>
          <w:rFonts w:ascii="Arial" w:hAnsi="Arial" w:cs="Arial"/>
          <w:sz w:val="24"/>
          <w:szCs w:val="24"/>
        </w:rPr>
        <w:t xml:space="preserve">potential </w:t>
      </w:r>
      <w:r w:rsidR="00F83890">
        <w:rPr>
          <w:rFonts w:ascii="Arial" w:hAnsi="Arial" w:cs="Arial"/>
          <w:sz w:val="24"/>
          <w:szCs w:val="24"/>
        </w:rPr>
        <w:t>f</w:t>
      </w:r>
      <w:r w:rsidR="00F1766E" w:rsidRPr="00F83890">
        <w:rPr>
          <w:rFonts w:ascii="Arial" w:hAnsi="Arial" w:cs="Arial"/>
          <w:sz w:val="24"/>
          <w:szCs w:val="24"/>
        </w:rPr>
        <w:t xml:space="preserve">or </w:t>
      </w:r>
      <w:r w:rsidR="00BA30A5" w:rsidRPr="00F83890">
        <w:rPr>
          <w:rFonts w:ascii="Arial" w:hAnsi="Arial" w:cs="Arial"/>
          <w:sz w:val="24"/>
          <w:szCs w:val="24"/>
        </w:rPr>
        <w:t xml:space="preserve">further </w:t>
      </w:r>
      <w:r w:rsidR="00EE7F9C">
        <w:rPr>
          <w:rFonts w:ascii="Arial" w:hAnsi="Arial" w:cs="Arial"/>
          <w:sz w:val="24"/>
          <w:szCs w:val="24"/>
        </w:rPr>
        <w:t>salary progression beyond this point.</w:t>
      </w:r>
      <w:bookmarkStart w:id="0" w:name="_GoBack"/>
      <w:bookmarkEnd w:id="0"/>
    </w:p>
    <w:p w14:paraId="4C05FDBA" w14:textId="77777777" w:rsidR="00EE7F9C" w:rsidRDefault="00EE7F9C" w:rsidP="00EE7F9C">
      <w:pPr>
        <w:pStyle w:val="ListParagraph"/>
        <w:spacing w:after="0"/>
        <w:rPr>
          <w:rFonts w:ascii="Arial" w:hAnsi="Arial" w:cs="Arial"/>
          <w:sz w:val="24"/>
          <w:szCs w:val="24"/>
        </w:rPr>
      </w:pPr>
    </w:p>
    <w:p w14:paraId="092D8732" w14:textId="77777777" w:rsidR="00750448" w:rsidRDefault="00750448" w:rsidP="00786E69">
      <w:pPr>
        <w:pStyle w:val="ListParagraph"/>
        <w:spacing w:after="0"/>
        <w:rPr>
          <w:rFonts w:ascii="Arial" w:hAnsi="Arial" w:cs="Arial"/>
          <w:sz w:val="24"/>
          <w:szCs w:val="24"/>
        </w:rPr>
      </w:pPr>
    </w:p>
    <w:p w14:paraId="32A83260" w14:textId="77777777" w:rsidR="00750448" w:rsidRPr="00786E69" w:rsidRDefault="00750448" w:rsidP="00750448">
      <w:pPr>
        <w:rPr>
          <w:rFonts w:ascii="Arial" w:hAnsi="Arial" w:cs="Arial"/>
          <w:b/>
          <w:sz w:val="24"/>
          <w:szCs w:val="24"/>
        </w:rPr>
      </w:pPr>
      <w:r w:rsidRPr="00786E69">
        <w:rPr>
          <w:rFonts w:ascii="Arial" w:hAnsi="Arial" w:cs="Arial"/>
          <w:b/>
          <w:sz w:val="24"/>
          <w:szCs w:val="24"/>
        </w:rPr>
        <w:t>Contribution points</w:t>
      </w:r>
    </w:p>
    <w:p w14:paraId="79A162F7" w14:textId="54CD5CB2" w:rsidR="008064A6" w:rsidRPr="00120653" w:rsidRDefault="00750448" w:rsidP="00722911">
      <w:pPr>
        <w:pStyle w:val="ListParagraph"/>
        <w:numPr>
          <w:ilvl w:val="0"/>
          <w:numId w:val="2"/>
        </w:numPr>
        <w:spacing w:after="0"/>
        <w:rPr>
          <w:rFonts w:ascii="Arial" w:hAnsi="Arial" w:cs="Arial"/>
          <w:sz w:val="24"/>
          <w:szCs w:val="24"/>
        </w:rPr>
      </w:pPr>
      <w:r w:rsidRPr="00120653">
        <w:rPr>
          <w:rFonts w:ascii="Arial" w:hAnsi="Arial" w:cs="Arial"/>
          <w:sz w:val="24"/>
          <w:szCs w:val="24"/>
        </w:rPr>
        <w:t xml:space="preserve">Contribution points are </w:t>
      </w:r>
      <w:r w:rsidR="00E15822">
        <w:rPr>
          <w:rFonts w:ascii="Arial" w:hAnsi="Arial" w:cs="Arial"/>
          <w:sz w:val="24"/>
          <w:szCs w:val="24"/>
        </w:rPr>
        <w:t xml:space="preserve">intended </w:t>
      </w:r>
      <w:r w:rsidRPr="00120653">
        <w:rPr>
          <w:rFonts w:ascii="Arial" w:hAnsi="Arial" w:cs="Arial"/>
          <w:sz w:val="24"/>
          <w:szCs w:val="24"/>
        </w:rPr>
        <w:t xml:space="preserve">to reward excellent performance over and above the normal requirements of the role. These </w:t>
      </w:r>
      <w:r w:rsidR="00443720">
        <w:rPr>
          <w:rFonts w:ascii="Arial" w:hAnsi="Arial" w:cs="Arial"/>
          <w:sz w:val="24"/>
          <w:szCs w:val="24"/>
        </w:rPr>
        <w:t xml:space="preserve">salary </w:t>
      </w:r>
      <w:r w:rsidRPr="00120653">
        <w:rPr>
          <w:rFonts w:ascii="Arial" w:hAnsi="Arial" w:cs="Arial"/>
          <w:sz w:val="24"/>
          <w:szCs w:val="24"/>
        </w:rPr>
        <w:t xml:space="preserve">points </w:t>
      </w:r>
      <w:r w:rsidR="00443720">
        <w:rPr>
          <w:rFonts w:ascii="Arial" w:hAnsi="Arial" w:cs="Arial"/>
          <w:sz w:val="24"/>
          <w:szCs w:val="24"/>
        </w:rPr>
        <w:t>are in addition to the standard increment</w:t>
      </w:r>
      <w:r w:rsidR="00E15822">
        <w:rPr>
          <w:rFonts w:ascii="Arial" w:hAnsi="Arial" w:cs="Arial"/>
          <w:sz w:val="24"/>
          <w:szCs w:val="24"/>
        </w:rPr>
        <w:t>al salary point</w:t>
      </w:r>
      <w:r w:rsidR="00443720">
        <w:rPr>
          <w:rFonts w:ascii="Arial" w:hAnsi="Arial" w:cs="Arial"/>
          <w:sz w:val="24"/>
          <w:szCs w:val="24"/>
        </w:rPr>
        <w:t xml:space="preserve">s of each pay band. </w:t>
      </w:r>
      <w:r w:rsidR="00E15822">
        <w:rPr>
          <w:rFonts w:ascii="Arial" w:hAnsi="Arial" w:cs="Arial"/>
          <w:sz w:val="24"/>
          <w:szCs w:val="24"/>
        </w:rPr>
        <w:t>T</w:t>
      </w:r>
      <w:r w:rsidRPr="00120653">
        <w:rPr>
          <w:rFonts w:ascii="Arial" w:eastAsia="Times New Roman" w:hAnsi="Arial" w:cs="Arial"/>
          <w:sz w:val="24"/>
          <w:szCs w:val="24"/>
          <w:lang w:eastAsia="en-GB"/>
        </w:rPr>
        <w:t>he contribution points at the top of each band should not be used for a starting salary unless there are exception</w:t>
      </w:r>
      <w:r w:rsidR="0013229A" w:rsidRPr="00120653">
        <w:rPr>
          <w:rFonts w:ascii="Arial" w:eastAsia="Times New Roman" w:hAnsi="Arial" w:cs="Arial"/>
          <w:sz w:val="24"/>
          <w:szCs w:val="24"/>
          <w:lang w:eastAsia="en-GB"/>
        </w:rPr>
        <w:t xml:space="preserve">al circumstances, for example where the current salary is </w:t>
      </w:r>
      <w:r w:rsidR="00E15822">
        <w:rPr>
          <w:rFonts w:ascii="Arial" w:eastAsia="Times New Roman" w:hAnsi="Arial" w:cs="Arial"/>
          <w:sz w:val="24"/>
          <w:szCs w:val="24"/>
          <w:lang w:eastAsia="en-GB"/>
        </w:rPr>
        <w:t>already equivalent to the contribution points salary range</w:t>
      </w:r>
      <w:r w:rsidR="00ED1FFA">
        <w:rPr>
          <w:rFonts w:ascii="Arial" w:eastAsia="Times New Roman" w:hAnsi="Arial" w:cs="Arial"/>
          <w:sz w:val="24"/>
          <w:szCs w:val="24"/>
          <w:lang w:eastAsia="en-GB"/>
        </w:rPr>
        <w:t xml:space="preserve"> </w:t>
      </w:r>
      <w:r w:rsidR="0013229A" w:rsidRPr="00120653">
        <w:rPr>
          <w:rFonts w:ascii="Arial" w:eastAsia="Times New Roman" w:hAnsi="Arial" w:cs="Arial"/>
          <w:sz w:val="24"/>
          <w:szCs w:val="24"/>
          <w:lang w:eastAsia="en-GB"/>
        </w:rPr>
        <w:t>(but see 7. Above)</w:t>
      </w:r>
      <w:r w:rsidR="00541A5A" w:rsidRPr="00120653">
        <w:rPr>
          <w:rFonts w:ascii="Arial" w:eastAsia="Times New Roman" w:hAnsi="Arial" w:cs="Arial"/>
          <w:sz w:val="24"/>
          <w:szCs w:val="24"/>
          <w:lang w:eastAsia="en-GB"/>
        </w:rPr>
        <w:t>.</w:t>
      </w:r>
      <w:r w:rsidR="0013229A" w:rsidRPr="00120653">
        <w:rPr>
          <w:rFonts w:ascii="Arial" w:eastAsia="Times New Roman" w:hAnsi="Arial" w:cs="Arial"/>
          <w:sz w:val="24"/>
          <w:szCs w:val="24"/>
          <w:lang w:eastAsia="en-GB"/>
        </w:rPr>
        <w:t xml:space="preserve"> </w:t>
      </w:r>
    </w:p>
    <w:p w14:paraId="3F5E929E" w14:textId="77777777" w:rsidR="00120653" w:rsidRPr="00120653" w:rsidRDefault="00120653" w:rsidP="00120653">
      <w:pPr>
        <w:pStyle w:val="ListParagraph"/>
        <w:spacing w:after="0"/>
        <w:rPr>
          <w:rFonts w:ascii="Arial" w:hAnsi="Arial" w:cs="Arial"/>
          <w:sz w:val="24"/>
          <w:szCs w:val="24"/>
        </w:rPr>
      </w:pPr>
    </w:p>
    <w:p w14:paraId="2A2B9F07" w14:textId="77777777" w:rsidR="008064A6" w:rsidRPr="008064A6" w:rsidRDefault="008064A6" w:rsidP="008064A6">
      <w:pPr>
        <w:spacing w:after="0"/>
        <w:rPr>
          <w:rFonts w:ascii="Arial" w:hAnsi="Arial" w:cs="Arial"/>
          <w:b/>
          <w:sz w:val="24"/>
          <w:szCs w:val="24"/>
        </w:rPr>
      </w:pPr>
      <w:r w:rsidRPr="008064A6">
        <w:rPr>
          <w:rFonts w:ascii="Arial" w:hAnsi="Arial" w:cs="Arial"/>
          <w:b/>
          <w:sz w:val="24"/>
          <w:szCs w:val="24"/>
        </w:rPr>
        <w:t xml:space="preserve">Determining factors when making a salary offer </w:t>
      </w:r>
    </w:p>
    <w:p w14:paraId="66808B09" w14:textId="77777777" w:rsidR="008064A6" w:rsidRDefault="008064A6" w:rsidP="008064A6">
      <w:pPr>
        <w:spacing w:after="0"/>
        <w:rPr>
          <w:rFonts w:ascii="Arial" w:hAnsi="Arial" w:cs="Arial"/>
          <w:b/>
          <w:sz w:val="24"/>
          <w:szCs w:val="24"/>
        </w:rPr>
      </w:pPr>
    </w:p>
    <w:p w14:paraId="229F5F1A" w14:textId="1501E0B1" w:rsidR="00786E69" w:rsidRPr="00B12BF5" w:rsidRDefault="00786E69" w:rsidP="00B12BF5">
      <w:pPr>
        <w:pStyle w:val="ListParagraph"/>
        <w:numPr>
          <w:ilvl w:val="0"/>
          <w:numId w:val="2"/>
        </w:numPr>
        <w:spacing w:after="0"/>
        <w:rPr>
          <w:rFonts w:ascii="Arial" w:hAnsi="Arial" w:cs="Arial"/>
          <w:b/>
          <w:sz w:val="24"/>
          <w:szCs w:val="24"/>
        </w:rPr>
      </w:pPr>
      <w:r w:rsidRPr="00B12BF5">
        <w:rPr>
          <w:rFonts w:ascii="Arial" w:hAnsi="Arial" w:cs="Arial"/>
          <w:sz w:val="24"/>
          <w:szCs w:val="24"/>
        </w:rPr>
        <w:t xml:space="preserve">Salary offers must be made within the standard incremental </w:t>
      </w:r>
      <w:r w:rsidR="00E15822" w:rsidRPr="00B12BF5">
        <w:rPr>
          <w:rFonts w:ascii="Arial" w:hAnsi="Arial" w:cs="Arial"/>
          <w:sz w:val="24"/>
          <w:szCs w:val="24"/>
        </w:rPr>
        <w:t xml:space="preserve">salary </w:t>
      </w:r>
      <w:r w:rsidRPr="00B12BF5">
        <w:rPr>
          <w:rFonts w:ascii="Arial" w:hAnsi="Arial" w:cs="Arial"/>
          <w:sz w:val="24"/>
          <w:szCs w:val="24"/>
        </w:rPr>
        <w:t>points of the</w:t>
      </w:r>
      <w:r w:rsidR="00B12BF5">
        <w:rPr>
          <w:rFonts w:ascii="Arial" w:hAnsi="Arial" w:cs="Arial"/>
          <w:sz w:val="24"/>
          <w:szCs w:val="24"/>
        </w:rPr>
        <w:t xml:space="preserve"> </w:t>
      </w:r>
      <w:r w:rsidRPr="00B12BF5">
        <w:rPr>
          <w:rFonts w:ascii="Arial" w:hAnsi="Arial" w:cs="Arial"/>
          <w:sz w:val="24"/>
          <w:szCs w:val="24"/>
        </w:rPr>
        <w:t xml:space="preserve">relevant pay band for the role. </w:t>
      </w:r>
    </w:p>
    <w:p w14:paraId="57103865" w14:textId="77777777" w:rsidR="00B74A7F" w:rsidRPr="00786E69" w:rsidRDefault="00B74A7F" w:rsidP="00786E69">
      <w:pPr>
        <w:spacing w:after="0"/>
        <w:rPr>
          <w:rFonts w:ascii="Arial" w:hAnsi="Arial" w:cs="Arial"/>
          <w:sz w:val="24"/>
          <w:szCs w:val="24"/>
        </w:rPr>
      </w:pPr>
    </w:p>
    <w:p w14:paraId="37B0E3A0" w14:textId="65770CCC" w:rsidR="004001D3" w:rsidRPr="00ED1FFA" w:rsidRDefault="008064A6" w:rsidP="00ED1FFA">
      <w:pPr>
        <w:pStyle w:val="ListParagraph"/>
        <w:numPr>
          <w:ilvl w:val="0"/>
          <w:numId w:val="2"/>
        </w:numPr>
        <w:rPr>
          <w:rFonts w:ascii="Arial" w:hAnsi="Arial" w:cs="Arial"/>
          <w:sz w:val="24"/>
          <w:szCs w:val="24"/>
        </w:rPr>
      </w:pPr>
      <w:r w:rsidRPr="00ED1FFA">
        <w:rPr>
          <w:rFonts w:ascii="Arial" w:hAnsi="Arial" w:cs="Arial"/>
          <w:sz w:val="24"/>
          <w:szCs w:val="24"/>
        </w:rPr>
        <w:t>T</w:t>
      </w:r>
      <w:r w:rsidR="00EE7F9C" w:rsidRPr="00ED1FFA">
        <w:rPr>
          <w:rFonts w:ascii="Arial" w:hAnsi="Arial" w:cs="Arial"/>
          <w:sz w:val="24"/>
          <w:szCs w:val="24"/>
        </w:rPr>
        <w:t>he appointing manager</w:t>
      </w:r>
      <w:r w:rsidR="00354B9E" w:rsidRPr="00ED1FFA">
        <w:rPr>
          <w:rFonts w:ascii="Arial" w:hAnsi="Arial" w:cs="Arial"/>
          <w:sz w:val="24"/>
          <w:szCs w:val="24"/>
        </w:rPr>
        <w:t xml:space="preserve"> may consider</w:t>
      </w:r>
      <w:r w:rsidR="001F0A7D">
        <w:rPr>
          <w:rFonts w:ascii="Arial" w:hAnsi="Arial" w:cs="Arial"/>
          <w:sz w:val="24"/>
          <w:szCs w:val="24"/>
        </w:rPr>
        <w:t xml:space="preserve"> </w:t>
      </w:r>
      <w:r w:rsidRPr="00ED1FFA">
        <w:rPr>
          <w:rFonts w:ascii="Arial" w:hAnsi="Arial" w:cs="Arial"/>
          <w:sz w:val="24"/>
          <w:szCs w:val="24"/>
        </w:rPr>
        <w:t>the f</w:t>
      </w:r>
      <w:r w:rsidR="00FB7C99" w:rsidRPr="00ED1FFA">
        <w:rPr>
          <w:rFonts w:ascii="Arial" w:hAnsi="Arial" w:cs="Arial"/>
          <w:sz w:val="24"/>
          <w:szCs w:val="24"/>
        </w:rPr>
        <w:t xml:space="preserve">ull range of the </w:t>
      </w:r>
      <w:r w:rsidR="00354B9E" w:rsidRPr="00ED1FFA">
        <w:rPr>
          <w:rFonts w:ascii="Arial" w:hAnsi="Arial" w:cs="Arial"/>
          <w:sz w:val="24"/>
          <w:szCs w:val="24"/>
        </w:rPr>
        <w:t xml:space="preserve">relevant </w:t>
      </w:r>
      <w:r w:rsidR="00B8307D">
        <w:rPr>
          <w:rFonts w:ascii="Arial" w:hAnsi="Arial" w:cs="Arial"/>
          <w:sz w:val="24"/>
          <w:szCs w:val="24"/>
        </w:rPr>
        <w:t xml:space="preserve">pay </w:t>
      </w:r>
      <w:proofErr w:type="gramStart"/>
      <w:r w:rsidR="00FB7C99" w:rsidRPr="00ED1FFA">
        <w:rPr>
          <w:rFonts w:ascii="Arial" w:hAnsi="Arial" w:cs="Arial"/>
          <w:sz w:val="24"/>
          <w:szCs w:val="24"/>
        </w:rPr>
        <w:t xml:space="preserve">band  </w:t>
      </w:r>
      <w:r w:rsidRPr="00ED1FFA">
        <w:rPr>
          <w:rFonts w:ascii="Arial" w:hAnsi="Arial" w:cs="Arial"/>
          <w:sz w:val="24"/>
          <w:szCs w:val="24"/>
        </w:rPr>
        <w:t>when</w:t>
      </w:r>
      <w:proofErr w:type="gramEnd"/>
      <w:r w:rsidRPr="00ED1FFA">
        <w:rPr>
          <w:rFonts w:ascii="Arial" w:hAnsi="Arial" w:cs="Arial"/>
          <w:sz w:val="24"/>
          <w:szCs w:val="24"/>
        </w:rPr>
        <w:t xml:space="preserve"> determining a starting salary</w:t>
      </w:r>
      <w:r w:rsidR="00354B9E" w:rsidRPr="00ED1FFA">
        <w:rPr>
          <w:rFonts w:ascii="Arial" w:hAnsi="Arial" w:cs="Arial"/>
          <w:sz w:val="24"/>
          <w:szCs w:val="24"/>
        </w:rPr>
        <w:t xml:space="preserve"> and does not necessarily have to offer the lowest salary point within the pay band.</w:t>
      </w:r>
    </w:p>
    <w:p w14:paraId="18193443" w14:textId="77777777" w:rsidR="00750448" w:rsidRDefault="00750448" w:rsidP="00750448">
      <w:pPr>
        <w:pStyle w:val="ListParagraph"/>
        <w:spacing w:after="0"/>
        <w:ind w:left="780"/>
        <w:rPr>
          <w:rFonts w:ascii="Arial" w:hAnsi="Arial" w:cs="Arial"/>
          <w:sz w:val="24"/>
          <w:szCs w:val="24"/>
        </w:rPr>
      </w:pPr>
    </w:p>
    <w:p w14:paraId="19F6BE97" w14:textId="6EC0B45D" w:rsidR="00750448" w:rsidRDefault="00750448" w:rsidP="00750448">
      <w:pPr>
        <w:pStyle w:val="ListParagraph"/>
        <w:numPr>
          <w:ilvl w:val="0"/>
          <w:numId w:val="2"/>
        </w:numPr>
        <w:spacing w:after="0"/>
        <w:rPr>
          <w:rFonts w:ascii="Arial" w:hAnsi="Arial" w:cs="Arial"/>
          <w:sz w:val="24"/>
          <w:szCs w:val="24"/>
        </w:rPr>
      </w:pPr>
      <w:r>
        <w:rPr>
          <w:rFonts w:ascii="Arial" w:hAnsi="Arial" w:cs="Arial"/>
          <w:sz w:val="24"/>
          <w:szCs w:val="24"/>
        </w:rPr>
        <w:t xml:space="preserve"> </w:t>
      </w:r>
      <w:r w:rsidR="00ED1FFA">
        <w:rPr>
          <w:rFonts w:ascii="Arial" w:hAnsi="Arial" w:cs="Arial"/>
          <w:sz w:val="24"/>
          <w:szCs w:val="24"/>
        </w:rPr>
        <w:t>F</w:t>
      </w:r>
      <w:r>
        <w:rPr>
          <w:rFonts w:ascii="Arial" w:hAnsi="Arial" w:cs="Arial"/>
          <w:sz w:val="24"/>
          <w:szCs w:val="24"/>
        </w:rPr>
        <w:t xml:space="preserve">actors for determining an appropriate starting salary </w:t>
      </w:r>
      <w:r w:rsidR="00354B9E">
        <w:rPr>
          <w:rFonts w:ascii="Arial" w:hAnsi="Arial" w:cs="Arial"/>
          <w:sz w:val="24"/>
          <w:szCs w:val="24"/>
        </w:rPr>
        <w:t>may include</w:t>
      </w:r>
      <w:r>
        <w:rPr>
          <w:rFonts w:ascii="Arial" w:hAnsi="Arial" w:cs="Arial"/>
          <w:sz w:val="24"/>
          <w:szCs w:val="24"/>
        </w:rPr>
        <w:t>:</w:t>
      </w:r>
    </w:p>
    <w:p w14:paraId="29FA6EF0" w14:textId="77777777" w:rsidR="00750448" w:rsidRDefault="00750448" w:rsidP="00750448">
      <w:pPr>
        <w:pStyle w:val="ListParagraph"/>
        <w:spacing w:after="0"/>
        <w:rPr>
          <w:rFonts w:ascii="Arial" w:hAnsi="Arial" w:cs="Arial"/>
          <w:sz w:val="24"/>
          <w:szCs w:val="24"/>
        </w:rPr>
      </w:pPr>
    </w:p>
    <w:p w14:paraId="077EBCFD" w14:textId="652A0F84" w:rsidR="00AA0C03" w:rsidRPr="00AA0C03" w:rsidRDefault="00750448" w:rsidP="00AA0C03">
      <w:pPr>
        <w:pStyle w:val="ListParagraph"/>
        <w:numPr>
          <w:ilvl w:val="0"/>
          <w:numId w:val="4"/>
        </w:numPr>
        <w:spacing w:after="0"/>
        <w:rPr>
          <w:rFonts w:ascii="Arial" w:hAnsi="Arial" w:cs="Arial"/>
          <w:sz w:val="24"/>
          <w:szCs w:val="24"/>
        </w:rPr>
      </w:pPr>
      <w:r>
        <w:rPr>
          <w:rFonts w:ascii="Arial" w:hAnsi="Arial" w:cs="Arial"/>
          <w:sz w:val="24"/>
          <w:szCs w:val="24"/>
        </w:rPr>
        <w:t>R</w:t>
      </w:r>
      <w:r w:rsidRPr="00750448">
        <w:rPr>
          <w:rFonts w:ascii="Arial" w:hAnsi="Arial" w:cs="Arial"/>
          <w:sz w:val="24"/>
          <w:szCs w:val="24"/>
        </w:rPr>
        <w:t xml:space="preserve">elevant experience, knowledge and skills </w:t>
      </w:r>
      <w:r w:rsidR="00AA0C03">
        <w:rPr>
          <w:rFonts w:ascii="Arial" w:hAnsi="Arial" w:cs="Arial"/>
          <w:sz w:val="24"/>
          <w:szCs w:val="24"/>
        </w:rPr>
        <w:t xml:space="preserve">of the </w:t>
      </w:r>
      <w:r w:rsidR="001F0A7D">
        <w:rPr>
          <w:rFonts w:ascii="Arial" w:hAnsi="Arial" w:cs="Arial"/>
          <w:sz w:val="24"/>
          <w:szCs w:val="24"/>
        </w:rPr>
        <w:t>candidate.</w:t>
      </w:r>
      <w:r w:rsidR="00AA0C03">
        <w:rPr>
          <w:rFonts w:ascii="Arial" w:hAnsi="Arial" w:cs="Arial"/>
          <w:sz w:val="24"/>
          <w:szCs w:val="24"/>
        </w:rPr>
        <w:t xml:space="preserve"> For example,</w:t>
      </w:r>
      <w:r w:rsidR="00354B9E">
        <w:rPr>
          <w:rFonts w:ascii="Arial" w:hAnsi="Arial" w:cs="Arial"/>
          <w:sz w:val="24"/>
          <w:szCs w:val="24"/>
        </w:rPr>
        <w:t xml:space="preserve"> if a </w:t>
      </w:r>
      <w:r w:rsidR="001F0A7D">
        <w:rPr>
          <w:rFonts w:ascii="Arial" w:hAnsi="Arial" w:cs="Arial"/>
          <w:sz w:val="24"/>
          <w:szCs w:val="24"/>
        </w:rPr>
        <w:t xml:space="preserve">candidate </w:t>
      </w:r>
      <w:r w:rsidR="00354B9E">
        <w:rPr>
          <w:rFonts w:ascii="Arial" w:hAnsi="Arial" w:cs="Arial"/>
          <w:sz w:val="24"/>
          <w:szCs w:val="24"/>
        </w:rPr>
        <w:t xml:space="preserve">offers only </w:t>
      </w:r>
      <w:r w:rsidR="00AA0C03" w:rsidRPr="00AA0C03">
        <w:rPr>
          <w:rFonts w:ascii="Arial" w:hAnsi="Arial" w:cs="Arial"/>
          <w:sz w:val="24"/>
          <w:szCs w:val="24"/>
        </w:rPr>
        <w:t xml:space="preserve">basic skills and competences required for the job </w:t>
      </w:r>
      <w:r w:rsidR="00354B9E">
        <w:rPr>
          <w:rFonts w:ascii="Arial" w:hAnsi="Arial" w:cs="Arial"/>
          <w:sz w:val="24"/>
          <w:szCs w:val="24"/>
        </w:rPr>
        <w:t xml:space="preserve">and </w:t>
      </w:r>
      <w:r w:rsidR="00AA0C03" w:rsidRPr="00AA0C03">
        <w:rPr>
          <w:rFonts w:ascii="Arial" w:hAnsi="Arial" w:cs="Arial"/>
          <w:sz w:val="24"/>
          <w:szCs w:val="24"/>
        </w:rPr>
        <w:t>it will take time for them to gain the experience to perform the</w:t>
      </w:r>
      <w:r w:rsidR="00AA0C03">
        <w:rPr>
          <w:rFonts w:ascii="Arial" w:hAnsi="Arial" w:cs="Arial"/>
          <w:sz w:val="24"/>
          <w:szCs w:val="24"/>
        </w:rPr>
        <w:t xml:space="preserve"> job at a ful</w:t>
      </w:r>
      <w:r w:rsidR="00B8307D">
        <w:rPr>
          <w:rFonts w:ascii="Arial" w:hAnsi="Arial" w:cs="Arial"/>
          <w:sz w:val="24"/>
          <w:szCs w:val="24"/>
        </w:rPr>
        <w:t>ly competent level, it would be</w:t>
      </w:r>
      <w:r w:rsidR="00F848AD">
        <w:rPr>
          <w:rFonts w:ascii="Arial" w:hAnsi="Arial" w:cs="Arial"/>
          <w:sz w:val="24"/>
          <w:szCs w:val="24"/>
        </w:rPr>
        <w:t xml:space="preserve"> normal to</w:t>
      </w:r>
      <w:r w:rsidR="00AA0C03">
        <w:rPr>
          <w:rFonts w:ascii="Arial" w:hAnsi="Arial" w:cs="Arial"/>
          <w:sz w:val="24"/>
          <w:szCs w:val="24"/>
        </w:rPr>
        <w:t xml:space="preserve"> offer a lower starting salary</w:t>
      </w:r>
      <w:r w:rsidR="00AA516B">
        <w:rPr>
          <w:rFonts w:ascii="Arial" w:hAnsi="Arial" w:cs="Arial"/>
          <w:sz w:val="24"/>
          <w:szCs w:val="24"/>
        </w:rPr>
        <w:t xml:space="preserve"> within the band.</w:t>
      </w:r>
      <w:r w:rsidR="00B8307D">
        <w:rPr>
          <w:rFonts w:ascii="Arial" w:hAnsi="Arial" w:cs="Arial"/>
          <w:sz w:val="24"/>
          <w:szCs w:val="24"/>
        </w:rPr>
        <w:t xml:space="preserve"> </w:t>
      </w:r>
      <w:r w:rsidR="00354B9E">
        <w:rPr>
          <w:rFonts w:ascii="Arial" w:hAnsi="Arial" w:cs="Arial"/>
          <w:sz w:val="24"/>
          <w:szCs w:val="24"/>
        </w:rPr>
        <w:t>Conversely</w:t>
      </w:r>
      <w:r w:rsidR="00B8307D">
        <w:rPr>
          <w:rFonts w:ascii="Arial" w:hAnsi="Arial" w:cs="Arial"/>
          <w:sz w:val="24"/>
          <w:szCs w:val="24"/>
        </w:rPr>
        <w:t>,</w:t>
      </w:r>
      <w:r w:rsidR="00354B9E">
        <w:rPr>
          <w:rFonts w:ascii="Arial" w:hAnsi="Arial" w:cs="Arial"/>
          <w:sz w:val="24"/>
          <w:szCs w:val="24"/>
        </w:rPr>
        <w:t xml:space="preserve"> a higher salary offer may be made to someone who brings all relevant skills, knowledge and experience and requires minimum support and development.</w:t>
      </w:r>
    </w:p>
    <w:p w14:paraId="2424FA8C" w14:textId="77777777" w:rsidR="00750448" w:rsidRPr="00750448" w:rsidRDefault="00750448" w:rsidP="00750448">
      <w:pPr>
        <w:pStyle w:val="ListParagraph"/>
        <w:spacing w:after="0"/>
        <w:rPr>
          <w:rFonts w:ascii="Arial" w:hAnsi="Arial" w:cs="Arial"/>
          <w:sz w:val="24"/>
          <w:szCs w:val="24"/>
        </w:rPr>
      </w:pPr>
    </w:p>
    <w:p w14:paraId="39AC8F06" w14:textId="77777777" w:rsidR="00750448" w:rsidRDefault="00750448" w:rsidP="00750448">
      <w:pPr>
        <w:pStyle w:val="ListParagraph"/>
        <w:numPr>
          <w:ilvl w:val="0"/>
          <w:numId w:val="4"/>
        </w:numPr>
        <w:spacing w:after="0"/>
        <w:rPr>
          <w:rFonts w:ascii="Arial" w:hAnsi="Arial" w:cs="Arial"/>
          <w:sz w:val="24"/>
          <w:szCs w:val="24"/>
        </w:rPr>
      </w:pPr>
      <w:r w:rsidRPr="00750448">
        <w:rPr>
          <w:rFonts w:ascii="Arial" w:hAnsi="Arial" w:cs="Arial"/>
          <w:sz w:val="24"/>
          <w:szCs w:val="24"/>
        </w:rPr>
        <w:t>External market factors</w:t>
      </w:r>
      <w:r>
        <w:rPr>
          <w:rFonts w:ascii="Arial" w:hAnsi="Arial" w:cs="Arial"/>
          <w:sz w:val="24"/>
          <w:szCs w:val="24"/>
        </w:rPr>
        <w:t xml:space="preserve"> (for example posts in </w:t>
      </w:r>
      <w:r w:rsidR="00143742">
        <w:rPr>
          <w:rFonts w:ascii="Arial" w:hAnsi="Arial" w:cs="Arial"/>
          <w:sz w:val="24"/>
          <w:szCs w:val="24"/>
        </w:rPr>
        <w:t xml:space="preserve">the </w:t>
      </w:r>
      <w:r>
        <w:rPr>
          <w:rFonts w:ascii="Arial" w:hAnsi="Arial" w:cs="Arial"/>
          <w:sz w:val="24"/>
          <w:szCs w:val="24"/>
        </w:rPr>
        <w:t xml:space="preserve">private sector, consultancy, </w:t>
      </w:r>
      <w:r w:rsidR="00143742">
        <w:rPr>
          <w:rFonts w:ascii="Arial" w:hAnsi="Arial" w:cs="Arial"/>
          <w:sz w:val="24"/>
          <w:szCs w:val="24"/>
        </w:rPr>
        <w:t xml:space="preserve">the NHS or </w:t>
      </w:r>
      <w:r>
        <w:rPr>
          <w:rFonts w:ascii="Arial" w:hAnsi="Arial" w:cs="Arial"/>
          <w:sz w:val="24"/>
          <w:szCs w:val="24"/>
        </w:rPr>
        <w:t xml:space="preserve">the teaching profession may attract higher basic salaries and there needs to be a flexible approach </w:t>
      </w:r>
      <w:r w:rsidR="00AA516B">
        <w:rPr>
          <w:rFonts w:ascii="Arial" w:hAnsi="Arial" w:cs="Arial"/>
          <w:sz w:val="24"/>
          <w:szCs w:val="24"/>
        </w:rPr>
        <w:t xml:space="preserve">in salary negotiations </w:t>
      </w:r>
      <w:r>
        <w:rPr>
          <w:rFonts w:ascii="Arial" w:hAnsi="Arial" w:cs="Arial"/>
          <w:sz w:val="24"/>
          <w:szCs w:val="24"/>
        </w:rPr>
        <w:t>to secure the best candidate).</w:t>
      </w:r>
    </w:p>
    <w:p w14:paraId="2BF79B91" w14:textId="77777777" w:rsidR="00AA0C03" w:rsidRPr="00AA0C03" w:rsidRDefault="00AA0C03" w:rsidP="00AA0C03">
      <w:pPr>
        <w:pStyle w:val="ListParagraph"/>
        <w:rPr>
          <w:rFonts w:ascii="Arial" w:hAnsi="Arial" w:cs="Arial"/>
          <w:sz w:val="24"/>
          <w:szCs w:val="24"/>
        </w:rPr>
      </w:pPr>
    </w:p>
    <w:p w14:paraId="5517E0F7" w14:textId="77777777" w:rsidR="00AA0C03" w:rsidRDefault="00AA0C03" w:rsidP="00750448">
      <w:pPr>
        <w:pStyle w:val="ListParagraph"/>
        <w:numPr>
          <w:ilvl w:val="0"/>
          <w:numId w:val="4"/>
        </w:numPr>
        <w:spacing w:after="0"/>
        <w:rPr>
          <w:rFonts w:ascii="Arial" w:hAnsi="Arial" w:cs="Arial"/>
          <w:sz w:val="24"/>
          <w:szCs w:val="24"/>
        </w:rPr>
      </w:pPr>
      <w:r>
        <w:rPr>
          <w:rFonts w:ascii="Arial" w:hAnsi="Arial" w:cs="Arial"/>
          <w:sz w:val="24"/>
          <w:szCs w:val="24"/>
        </w:rPr>
        <w:t xml:space="preserve">For relevant academic posts, the candidate’s current research profile / publications output.  </w:t>
      </w:r>
    </w:p>
    <w:p w14:paraId="101E5506" w14:textId="77777777" w:rsidR="00143742" w:rsidRPr="00143742" w:rsidRDefault="00143742" w:rsidP="00143742">
      <w:pPr>
        <w:pStyle w:val="ListParagraph"/>
        <w:rPr>
          <w:rFonts w:ascii="Arial" w:hAnsi="Arial" w:cs="Arial"/>
          <w:sz w:val="24"/>
          <w:szCs w:val="24"/>
        </w:rPr>
      </w:pPr>
    </w:p>
    <w:p w14:paraId="76B0933B" w14:textId="5650BA86" w:rsidR="00750448" w:rsidRPr="00143742" w:rsidRDefault="00750448" w:rsidP="00143742">
      <w:pPr>
        <w:pStyle w:val="ListParagraph"/>
        <w:numPr>
          <w:ilvl w:val="0"/>
          <w:numId w:val="4"/>
        </w:numPr>
        <w:spacing w:after="0"/>
        <w:rPr>
          <w:rFonts w:ascii="Arial" w:hAnsi="Arial" w:cs="Arial"/>
          <w:sz w:val="24"/>
          <w:szCs w:val="24"/>
        </w:rPr>
      </w:pPr>
      <w:r w:rsidRPr="00143742">
        <w:rPr>
          <w:rFonts w:ascii="Arial" w:hAnsi="Arial" w:cs="Arial"/>
          <w:sz w:val="24"/>
          <w:szCs w:val="24"/>
        </w:rPr>
        <w:t xml:space="preserve">Comparable salaries of other staff in </w:t>
      </w:r>
      <w:r w:rsidR="0013229A" w:rsidRPr="00143742">
        <w:rPr>
          <w:rFonts w:ascii="Arial" w:hAnsi="Arial" w:cs="Arial"/>
          <w:sz w:val="24"/>
          <w:szCs w:val="24"/>
        </w:rPr>
        <w:t xml:space="preserve">the existing </w:t>
      </w:r>
      <w:r w:rsidRPr="00143742">
        <w:rPr>
          <w:rFonts w:ascii="Arial" w:hAnsi="Arial" w:cs="Arial"/>
          <w:sz w:val="24"/>
          <w:szCs w:val="24"/>
        </w:rPr>
        <w:t>tea</w:t>
      </w:r>
      <w:r w:rsidR="0013229A" w:rsidRPr="00143742">
        <w:rPr>
          <w:rFonts w:ascii="Arial" w:hAnsi="Arial" w:cs="Arial"/>
          <w:sz w:val="24"/>
          <w:szCs w:val="24"/>
        </w:rPr>
        <w:t xml:space="preserve">m or </w:t>
      </w:r>
      <w:r w:rsidRPr="00143742">
        <w:rPr>
          <w:rFonts w:ascii="Arial" w:hAnsi="Arial" w:cs="Arial"/>
          <w:sz w:val="24"/>
          <w:szCs w:val="24"/>
        </w:rPr>
        <w:t>department</w:t>
      </w:r>
      <w:r w:rsidR="00B8307D">
        <w:rPr>
          <w:rFonts w:ascii="Arial" w:hAnsi="Arial" w:cs="Arial"/>
          <w:sz w:val="24"/>
          <w:szCs w:val="24"/>
        </w:rPr>
        <w:t>: a</w:t>
      </w:r>
      <w:r w:rsidR="00143742" w:rsidRPr="00143742">
        <w:rPr>
          <w:rFonts w:ascii="Arial" w:hAnsi="Arial" w:cs="Arial"/>
          <w:sz w:val="24"/>
          <w:szCs w:val="24"/>
        </w:rPr>
        <w:t xml:space="preserve">ppointing managers should consider the salaries of </w:t>
      </w:r>
      <w:r w:rsidR="001F0A7D">
        <w:rPr>
          <w:rFonts w:ascii="Arial" w:hAnsi="Arial" w:cs="Arial"/>
          <w:sz w:val="24"/>
          <w:szCs w:val="24"/>
        </w:rPr>
        <w:t xml:space="preserve">existing </w:t>
      </w:r>
      <w:proofErr w:type="gramStart"/>
      <w:r w:rsidR="001F0A7D">
        <w:rPr>
          <w:rFonts w:ascii="Arial" w:hAnsi="Arial" w:cs="Arial"/>
          <w:sz w:val="24"/>
          <w:szCs w:val="24"/>
        </w:rPr>
        <w:t xml:space="preserve">comparable </w:t>
      </w:r>
      <w:r w:rsidR="00143742" w:rsidRPr="00143742">
        <w:rPr>
          <w:rFonts w:ascii="Arial" w:hAnsi="Arial" w:cs="Arial"/>
          <w:sz w:val="24"/>
          <w:szCs w:val="24"/>
        </w:rPr>
        <w:t xml:space="preserve"> employees</w:t>
      </w:r>
      <w:proofErr w:type="gramEnd"/>
      <w:r w:rsidR="00143742" w:rsidRPr="00143742">
        <w:rPr>
          <w:rFonts w:ascii="Arial" w:hAnsi="Arial" w:cs="Arial"/>
          <w:sz w:val="24"/>
          <w:szCs w:val="24"/>
        </w:rPr>
        <w:t xml:space="preserve"> to ensure consistency and equity.</w:t>
      </w:r>
    </w:p>
    <w:p w14:paraId="6F0D2648" w14:textId="77777777" w:rsidR="0013229A" w:rsidRPr="0013229A" w:rsidRDefault="0013229A" w:rsidP="0013229A">
      <w:pPr>
        <w:pStyle w:val="ListParagraph"/>
        <w:rPr>
          <w:rFonts w:ascii="Arial" w:hAnsi="Arial" w:cs="Arial"/>
          <w:sz w:val="24"/>
          <w:szCs w:val="24"/>
        </w:rPr>
      </w:pPr>
    </w:p>
    <w:p w14:paraId="66828F11" w14:textId="77777777" w:rsidR="00AA0C03" w:rsidRDefault="0013229A" w:rsidP="00313C3E">
      <w:pPr>
        <w:pStyle w:val="ListParagraph"/>
        <w:numPr>
          <w:ilvl w:val="0"/>
          <w:numId w:val="4"/>
        </w:numPr>
        <w:spacing w:after="0"/>
        <w:rPr>
          <w:rFonts w:ascii="Arial" w:hAnsi="Arial" w:cs="Arial"/>
          <w:sz w:val="24"/>
          <w:szCs w:val="24"/>
        </w:rPr>
      </w:pPr>
      <w:r w:rsidRPr="00AA0C03">
        <w:rPr>
          <w:rFonts w:ascii="Arial" w:hAnsi="Arial" w:cs="Arial"/>
          <w:sz w:val="24"/>
          <w:szCs w:val="24"/>
        </w:rPr>
        <w:t>Current salary – (but see 7. above).</w:t>
      </w:r>
    </w:p>
    <w:p w14:paraId="39B76335" w14:textId="77777777" w:rsidR="00AA0C03" w:rsidRPr="00AA0C03" w:rsidRDefault="00AA0C03" w:rsidP="00AA0C03">
      <w:pPr>
        <w:pStyle w:val="ListParagraph"/>
        <w:rPr>
          <w:rFonts w:ascii="Arial" w:hAnsi="Arial" w:cs="Arial"/>
          <w:sz w:val="24"/>
          <w:szCs w:val="24"/>
        </w:rPr>
      </w:pPr>
    </w:p>
    <w:p w14:paraId="4B65AE89" w14:textId="63FC7306" w:rsidR="0084457C" w:rsidRDefault="00F848AD" w:rsidP="00AA0C03">
      <w:pPr>
        <w:pStyle w:val="ListParagraph"/>
        <w:numPr>
          <w:ilvl w:val="0"/>
          <w:numId w:val="2"/>
        </w:numPr>
        <w:spacing w:after="0"/>
        <w:rPr>
          <w:rFonts w:ascii="Arial" w:hAnsi="Arial" w:cs="Arial"/>
          <w:sz w:val="24"/>
          <w:szCs w:val="24"/>
        </w:rPr>
      </w:pPr>
      <w:r>
        <w:rPr>
          <w:rFonts w:ascii="Arial" w:hAnsi="Arial" w:cs="Arial"/>
          <w:sz w:val="24"/>
          <w:szCs w:val="24"/>
        </w:rPr>
        <w:lastRenderedPageBreak/>
        <w:t>Appointing m</w:t>
      </w:r>
      <w:r w:rsidR="0013229A" w:rsidRPr="00AA0C03">
        <w:rPr>
          <w:rFonts w:ascii="Arial" w:hAnsi="Arial" w:cs="Arial"/>
          <w:sz w:val="24"/>
          <w:szCs w:val="24"/>
        </w:rPr>
        <w:t xml:space="preserve">anagers should remember that salary is not the only financial incentive that can be offered and it may be wise to </w:t>
      </w:r>
      <w:r w:rsidR="00AA0C03" w:rsidRPr="00AA0C03">
        <w:rPr>
          <w:rFonts w:ascii="Arial" w:hAnsi="Arial" w:cs="Arial"/>
          <w:sz w:val="24"/>
          <w:szCs w:val="24"/>
        </w:rPr>
        <w:t>highlight</w:t>
      </w:r>
      <w:r w:rsidR="0013229A" w:rsidRPr="00AA0C03">
        <w:rPr>
          <w:rFonts w:ascii="Arial" w:hAnsi="Arial" w:cs="Arial"/>
          <w:sz w:val="24"/>
          <w:szCs w:val="24"/>
        </w:rPr>
        <w:t xml:space="preserve"> the </w:t>
      </w:r>
      <w:r w:rsidR="00AA0C03" w:rsidRPr="00AA0C03">
        <w:rPr>
          <w:rFonts w:ascii="Arial" w:hAnsi="Arial" w:cs="Arial"/>
          <w:sz w:val="24"/>
          <w:szCs w:val="24"/>
        </w:rPr>
        <w:t xml:space="preserve">starting </w:t>
      </w:r>
      <w:r w:rsidR="0013229A" w:rsidRPr="00AA0C03">
        <w:rPr>
          <w:rFonts w:ascii="Arial" w:hAnsi="Arial" w:cs="Arial"/>
          <w:sz w:val="24"/>
          <w:szCs w:val="24"/>
        </w:rPr>
        <w:t xml:space="preserve">salary in the context of the </w:t>
      </w:r>
      <w:r w:rsidR="0084457C" w:rsidRPr="00AA0C03">
        <w:rPr>
          <w:rFonts w:ascii="Arial" w:hAnsi="Arial" w:cs="Arial"/>
          <w:sz w:val="24"/>
          <w:szCs w:val="24"/>
        </w:rPr>
        <w:t xml:space="preserve">overall remuneration package </w:t>
      </w:r>
      <w:r w:rsidR="0013229A" w:rsidRPr="00AA0C03">
        <w:rPr>
          <w:rFonts w:ascii="Arial" w:hAnsi="Arial" w:cs="Arial"/>
          <w:sz w:val="24"/>
          <w:szCs w:val="24"/>
        </w:rPr>
        <w:t xml:space="preserve">on offer, </w:t>
      </w:r>
      <w:proofErr w:type="spellStart"/>
      <w:r w:rsidR="0013229A" w:rsidRPr="00AA0C03">
        <w:rPr>
          <w:rFonts w:ascii="Arial" w:hAnsi="Arial" w:cs="Arial"/>
          <w:sz w:val="24"/>
          <w:szCs w:val="24"/>
        </w:rPr>
        <w:t>eg</w:t>
      </w:r>
      <w:proofErr w:type="spellEnd"/>
      <w:r w:rsidR="0013229A" w:rsidRPr="00AA0C03">
        <w:rPr>
          <w:rFonts w:ascii="Arial" w:hAnsi="Arial" w:cs="Arial"/>
          <w:sz w:val="24"/>
          <w:szCs w:val="24"/>
        </w:rPr>
        <w:t xml:space="preserve"> </w:t>
      </w:r>
      <w:r w:rsidR="0084457C" w:rsidRPr="00AA0C03">
        <w:rPr>
          <w:rFonts w:ascii="Arial" w:hAnsi="Arial" w:cs="Arial"/>
          <w:sz w:val="24"/>
          <w:szCs w:val="24"/>
        </w:rPr>
        <w:t>annual leave</w:t>
      </w:r>
      <w:r w:rsidR="0013229A" w:rsidRPr="00AA0C03">
        <w:rPr>
          <w:rFonts w:ascii="Arial" w:hAnsi="Arial" w:cs="Arial"/>
          <w:sz w:val="24"/>
          <w:szCs w:val="24"/>
        </w:rPr>
        <w:t xml:space="preserve"> entitlement</w:t>
      </w:r>
      <w:r w:rsidR="005F5657" w:rsidRPr="00AA0C03">
        <w:rPr>
          <w:rFonts w:ascii="Arial" w:hAnsi="Arial" w:cs="Arial"/>
          <w:sz w:val="24"/>
          <w:szCs w:val="24"/>
        </w:rPr>
        <w:t>,</w:t>
      </w:r>
      <w:r w:rsidR="0013229A" w:rsidRPr="00AA0C03">
        <w:rPr>
          <w:rFonts w:ascii="Arial" w:hAnsi="Arial" w:cs="Arial"/>
          <w:sz w:val="24"/>
          <w:szCs w:val="24"/>
        </w:rPr>
        <w:t xml:space="preserve"> pension</w:t>
      </w:r>
      <w:r w:rsidR="00143742">
        <w:rPr>
          <w:rFonts w:ascii="Arial" w:hAnsi="Arial" w:cs="Arial"/>
          <w:sz w:val="24"/>
          <w:szCs w:val="24"/>
        </w:rPr>
        <w:t>, salary sacrifice schemes</w:t>
      </w:r>
      <w:r w:rsidR="0013229A" w:rsidRPr="00AA0C03">
        <w:rPr>
          <w:rFonts w:ascii="Arial" w:hAnsi="Arial" w:cs="Arial"/>
          <w:sz w:val="24"/>
          <w:szCs w:val="24"/>
        </w:rPr>
        <w:t xml:space="preserve"> and relocation entitlements. </w:t>
      </w:r>
      <w:r w:rsidR="0084457C" w:rsidRPr="00AA0C03">
        <w:rPr>
          <w:rFonts w:ascii="Arial" w:hAnsi="Arial" w:cs="Arial"/>
          <w:sz w:val="24"/>
          <w:szCs w:val="24"/>
        </w:rPr>
        <w:t xml:space="preserve"> </w:t>
      </w:r>
    </w:p>
    <w:p w14:paraId="16E5A626" w14:textId="77777777" w:rsidR="00390779" w:rsidRDefault="00390779" w:rsidP="00390779">
      <w:pPr>
        <w:spacing w:after="0"/>
        <w:rPr>
          <w:rFonts w:ascii="Arial" w:hAnsi="Arial" w:cs="Arial"/>
          <w:sz w:val="24"/>
          <w:szCs w:val="24"/>
        </w:rPr>
      </w:pPr>
    </w:p>
    <w:p w14:paraId="0323B442" w14:textId="71C1BAA2" w:rsidR="00390779" w:rsidRDefault="00390779" w:rsidP="00390779">
      <w:pPr>
        <w:spacing w:after="0"/>
        <w:rPr>
          <w:rFonts w:ascii="Arial" w:hAnsi="Arial" w:cs="Arial"/>
          <w:b/>
          <w:sz w:val="24"/>
          <w:szCs w:val="24"/>
        </w:rPr>
      </w:pPr>
      <w:r>
        <w:rPr>
          <w:rFonts w:ascii="Arial" w:hAnsi="Arial" w:cs="Arial"/>
          <w:b/>
          <w:sz w:val="24"/>
          <w:szCs w:val="24"/>
        </w:rPr>
        <w:t xml:space="preserve">The Offer </w:t>
      </w:r>
      <w:r w:rsidRPr="00F83890">
        <w:rPr>
          <w:rFonts w:ascii="Arial" w:hAnsi="Arial" w:cs="Arial"/>
          <w:b/>
          <w:sz w:val="24"/>
          <w:szCs w:val="24"/>
        </w:rPr>
        <w:t>Process</w:t>
      </w:r>
    </w:p>
    <w:p w14:paraId="0BC70126" w14:textId="77777777" w:rsidR="00390779" w:rsidRPr="00F83890" w:rsidRDefault="00390779" w:rsidP="00390779">
      <w:pPr>
        <w:spacing w:after="0"/>
        <w:rPr>
          <w:rFonts w:ascii="Arial" w:hAnsi="Arial" w:cs="Arial"/>
          <w:b/>
          <w:sz w:val="24"/>
          <w:szCs w:val="24"/>
        </w:rPr>
      </w:pPr>
    </w:p>
    <w:p w14:paraId="6C83D8FC" w14:textId="67A8A1FF" w:rsidR="00390779" w:rsidRDefault="00390779" w:rsidP="00390779">
      <w:pPr>
        <w:pStyle w:val="ListParagraph"/>
        <w:numPr>
          <w:ilvl w:val="0"/>
          <w:numId w:val="2"/>
        </w:numPr>
        <w:spacing w:after="0"/>
        <w:rPr>
          <w:rFonts w:ascii="Arial" w:hAnsi="Arial" w:cs="Arial"/>
          <w:sz w:val="24"/>
          <w:szCs w:val="24"/>
        </w:rPr>
      </w:pPr>
      <w:r w:rsidRPr="00801F03">
        <w:rPr>
          <w:rFonts w:ascii="Arial" w:hAnsi="Arial" w:cs="Arial"/>
          <w:sz w:val="24"/>
          <w:szCs w:val="24"/>
        </w:rPr>
        <w:t xml:space="preserve">An HR Adviser will </w:t>
      </w:r>
      <w:r w:rsidR="00F848AD">
        <w:rPr>
          <w:rFonts w:ascii="Arial" w:hAnsi="Arial" w:cs="Arial"/>
          <w:sz w:val="24"/>
          <w:szCs w:val="24"/>
        </w:rPr>
        <w:t xml:space="preserve">agree the salary offer with the appointing manager, </w:t>
      </w:r>
      <w:r w:rsidRPr="00801F03">
        <w:rPr>
          <w:rFonts w:ascii="Arial" w:hAnsi="Arial" w:cs="Arial"/>
          <w:sz w:val="24"/>
          <w:szCs w:val="24"/>
        </w:rPr>
        <w:t>make the job offer</w:t>
      </w:r>
      <w:r w:rsidR="00F848AD">
        <w:rPr>
          <w:rFonts w:ascii="Arial" w:hAnsi="Arial" w:cs="Arial"/>
          <w:sz w:val="24"/>
          <w:szCs w:val="24"/>
        </w:rPr>
        <w:t xml:space="preserve"> </w:t>
      </w:r>
      <w:r w:rsidR="001F0A7D">
        <w:rPr>
          <w:rFonts w:ascii="Arial" w:hAnsi="Arial" w:cs="Arial"/>
          <w:sz w:val="24"/>
          <w:szCs w:val="24"/>
        </w:rPr>
        <w:t>an</w:t>
      </w:r>
      <w:r w:rsidRPr="00801F03">
        <w:rPr>
          <w:rFonts w:ascii="Arial" w:hAnsi="Arial" w:cs="Arial"/>
          <w:sz w:val="24"/>
          <w:szCs w:val="24"/>
        </w:rPr>
        <w:t>d manage any salary negotiation.   They will liaise with Head of Institute / Department and will not agree to a</w:t>
      </w:r>
      <w:r w:rsidR="00F848AD">
        <w:rPr>
          <w:rFonts w:ascii="Arial" w:hAnsi="Arial" w:cs="Arial"/>
          <w:sz w:val="24"/>
          <w:szCs w:val="24"/>
        </w:rPr>
        <w:t xml:space="preserve"> different</w:t>
      </w:r>
      <w:r w:rsidRPr="00801F03">
        <w:rPr>
          <w:rFonts w:ascii="Arial" w:hAnsi="Arial" w:cs="Arial"/>
          <w:sz w:val="24"/>
          <w:szCs w:val="24"/>
        </w:rPr>
        <w:t xml:space="preserve"> starting salary without the</w:t>
      </w:r>
      <w:r w:rsidR="00120653">
        <w:rPr>
          <w:rFonts w:ascii="Arial" w:hAnsi="Arial" w:cs="Arial"/>
          <w:sz w:val="24"/>
          <w:szCs w:val="24"/>
        </w:rPr>
        <w:t>ir</w:t>
      </w:r>
      <w:r w:rsidRPr="00801F03">
        <w:rPr>
          <w:rFonts w:ascii="Arial" w:hAnsi="Arial" w:cs="Arial"/>
          <w:sz w:val="24"/>
          <w:szCs w:val="24"/>
        </w:rPr>
        <w:t xml:space="preserve"> prior agreement. </w:t>
      </w:r>
    </w:p>
    <w:p w14:paraId="192825A4" w14:textId="77777777" w:rsidR="00390779" w:rsidRPr="00801F03" w:rsidRDefault="00390779" w:rsidP="00390779">
      <w:pPr>
        <w:pStyle w:val="ListParagraph"/>
        <w:spacing w:after="0"/>
        <w:rPr>
          <w:rFonts w:ascii="Arial" w:hAnsi="Arial" w:cs="Arial"/>
          <w:sz w:val="24"/>
          <w:szCs w:val="24"/>
        </w:rPr>
      </w:pPr>
    </w:p>
    <w:p w14:paraId="3438B0B6" w14:textId="77777777" w:rsidR="00390779" w:rsidRDefault="00390779" w:rsidP="00390779">
      <w:pPr>
        <w:pStyle w:val="ListParagraph"/>
        <w:numPr>
          <w:ilvl w:val="0"/>
          <w:numId w:val="2"/>
        </w:numPr>
        <w:spacing w:after="0"/>
        <w:rPr>
          <w:rFonts w:ascii="Arial" w:hAnsi="Arial" w:cs="Arial"/>
          <w:sz w:val="24"/>
          <w:szCs w:val="24"/>
        </w:rPr>
      </w:pPr>
      <w:r w:rsidRPr="00801F03">
        <w:rPr>
          <w:rFonts w:ascii="Arial" w:hAnsi="Arial" w:cs="Arial"/>
          <w:sz w:val="24"/>
          <w:szCs w:val="24"/>
        </w:rPr>
        <w:t xml:space="preserve">HR can provide </w:t>
      </w:r>
      <w:r w:rsidR="00022C90">
        <w:rPr>
          <w:rFonts w:ascii="Arial" w:hAnsi="Arial" w:cs="Arial"/>
          <w:sz w:val="24"/>
          <w:szCs w:val="24"/>
        </w:rPr>
        <w:t xml:space="preserve">a Head of Institute / Department with </w:t>
      </w:r>
      <w:r w:rsidRPr="00801F03">
        <w:rPr>
          <w:rFonts w:ascii="Arial" w:hAnsi="Arial" w:cs="Arial"/>
          <w:sz w:val="24"/>
          <w:szCs w:val="24"/>
        </w:rPr>
        <w:t xml:space="preserve">salary information </w:t>
      </w:r>
      <w:r>
        <w:rPr>
          <w:rFonts w:ascii="Arial" w:hAnsi="Arial" w:cs="Arial"/>
          <w:sz w:val="24"/>
          <w:szCs w:val="24"/>
        </w:rPr>
        <w:t xml:space="preserve">for the wider team / department </w:t>
      </w:r>
      <w:r w:rsidRPr="00801F03">
        <w:rPr>
          <w:rFonts w:ascii="Arial" w:hAnsi="Arial" w:cs="Arial"/>
          <w:sz w:val="24"/>
          <w:szCs w:val="24"/>
        </w:rPr>
        <w:t xml:space="preserve">to help inform </w:t>
      </w:r>
      <w:r>
        <w:rPr>
          <w:rFonts w:ascii="Arial" w:hAnsi="Arial" w:cs="Arial"/>
          <w:sz w:val="24"/>
          <w:szCs w:val="24"/>
        </w:rPr>
        <w:t xml:space="preserve">the </w:t>
      </w:r>
      <w:r w:rsidRPr="00801F03">
        <w:rPr>
          <w:rFonts w:ascii="Arial" w:hAnsi="Arial" w:cs="Arial"/>
          <w:sz w:val="24"/>
          <w:szCs w:val="24"/>
        </w:rPr>
        <w:t>decision</w:t>
      </w:r>
      <w:r>
        <w:rPr>
          <w:rFonts w:ascii="Arial" w:hAnsi="Arial" w:cs="Arial"/>
          <w:sz w:val="24"/>
          <w:szCs w:val="24"/>
        </w:rPr>
        <w:t xml:space="preserve"> around starting salary. </w:t>
      </w:r>
    </w:p>
    <w:p w14:paraId="7DE00F6E" w14:textId="77777777" w:rsidR="00390779" w:rsidRPr="00801F03" w:rsidRDefault="00390779" w:rsidP="00390779">
      <w:pPr>
        <w:spacing w:after="0"/>
        <w:rPr>
          <w:rFonts w:ascii="Arial" w:hAnsi="Arial" w:cs="Arial"/>
          <w:sz w:val="24"/>
          <w:szCs w:val="24"/>
        </w:rPr>
      </w:pPr>
    </w:p>
    <w:p w14:paraId="17BCDC95" w14:textId="77777777" w:rsidR="00390779" w:rsidRPr="00F83890" w:rsidRDefault="00390779" w:rsidP="00390779">
      <w:pPr>
        <w:spacing w:after="0" w:line="240" w:lineRule="auto"/>
        <w:rPr>
          <w:rFonts w:ascii="Arial" w:hAnsi="Arial" w:cs="Arial"/>
          <w:sz w:val="24"/>
          <w:szCs w:val="24"/>
        </w:rPr>
      </w:pPr>
      <w:r w:rsidRPr="00F83890">
        <w:rPr>
          <w:rFonts w:ascii="Arial" w:hAnsi="Arial" w:cs="Arial"/>
          <w:sz w:val="24"/>
          <w:szCs w:val="24"/>
        </w:rPr>
        <w:t>. </w:t>
      </w:r>
    </w:p>
    <w:p w14:paraId="43671014" w14:textId="77777777" w:rsidR="00390779" w:rsidRDefault="00390779" w:rsidP="00390779">
      <w:pPr>
        <w:rPr>
          <w:rFonts w:ascii="Arial" w:hAnsi="Arial" w:cs="Arial"/>
          <w:b/>
          <w:sz w:val="24"/>
          <w:szCs w:val="24"/>
        </w:rPr>
      </w:pPr>
      <w:r>
        <w:rPr>
          <w:rFonts w:ascii="Arial" w:hAnsi="Arial" w:cs="Arial"/>
          <w:b/>
          <w:sz w:val="24"/>
          <w:szCs w:val="24"/>
        </w:rPr>
        <w:t>Incremental progression</w:t>
      </w:r>
    </w:p>
    <w:p w14:paraId="33043D76" w14:textId="0163E275" w:rsidR="006869AB" w:rsidRPr="00ED1FFA" w:rsidRDefault="00ED1FFA" w:rsidP="00927FC4">
      <w:pPr>
        <w:ind w:left="567" w:hanging="283"/>
        <w:rPr>
          <w:rFonts w:ascii="Arial" w:hAnsi="Arial" w:cs="Arial"/>
          <w:sz w:val="24"/>
          <w:szCs w:val="24"/>
        </w:rPr>
      </w:pPr>
      <w:r>
        <w:rPr>
          <w:rFonts w:ascii="Arial" w:hAnsi="Arial" w:cs="Arial"/>
          <w:sz w:val="24"/>
          <w:szCs w:val="24"/>
        </w:rPr>
        <w:t>17.</w:t>
      </w:r>
      <w:r w:rsidR="00390779" w:rsidRPr="001F0A7D">
        <w:rPr>
          <w:rFonts w:ascii="Arial" w:hAnsi="Arial" w:cs="Arial"/>
          <w:sz w:val="24"/>
          <w:szCs w:val="24"/>
        </w:rPr>
        <w:t xml:space="preserve"> </w:t>
      </w:r>
      <w:r w:rsidR="002C2E85" w:rsidRPr="00ED1FFA">
        <w:rPr>
          <w:rFonts w:ascii="Arial" w:hAnsi="Arial" w:cs="Arial"/>
          <w:sz w:val="24"/>
          <w:szCs w:val="24"/>
        </w:rPr>
        <w:t>Annual incremental progression is scheduled as follows</w:t>
      </w:r>
      <w:r w:rsidR="001F0A7D">
        <w:rPr>
          <w:rFonts w:ascii="Arial" w:hAnsi="Arial" w:cs="Arial"/>
          <w:sz w:val="24"/>
          <w:szCs w:val="24"/>
        </w:rPr>
        <w:t>:</w:t>
      </w:r>
    </w:p>
    <w:tbl>
      <w:tblPr>
        <w:tblStyle w:val="TableGrid"/>
        <w:tblW w:w="0" w:type="auto"/>
        <w:tblInd w:w="851" w:type="dxa"/>
        <w:tblLook w:val="04A0" w:firstRow="1" w:lastRow="0" w:firstColumn="1" w:lastColumn="0" w:noHBand="0" w:noVBand="1"/>
      </w:tblPr>
      <w:tblGrid>
        <w:gridCol w:w="2843"/>
        <w:gridCol w:w="3927"/>
      </w:tblGrid>
      <w:tr w:rsidR="006869AB" w:rsidRPr="00ED1FFA" w14:paraId="3253ACE7" w14:textId="77777777" w:rsidTr="00D909F4">
        <w:tc>
          <w:tcPr>
            <w:tcW w:w="2843" w:type="dxa"/>
          </w:tcPr>
          <w:p w14:paraId="44B69FF3" w14:textId="77777777" w:rsidR="006869AB" w:rsidRPr="00ED1FFA" w:rsidRDefault="006869AB" w:rsidP="00D909F4">
            <w:pPr>
              <w:rPr>
                <w:rFonts w:ascii="Arial" w:hAnsi="Arial" w:cs="Arial"/>
                <w:sz w:val="24"/>
                <w:szCs w:val="24"/>
              </w:rPr>
            </w:pPr>
            <w:r w:rsidRPr="00ED1FFA">
              <w:rPr>
                <w:rFonts w:ascii="Arial" w:hAnsi="Arial" w:cs="Arial"/>
                <w:sz w:val="24"/>
                <w:szCs w:val="24"/>
              </w:rPr>
              <w:t xml:space="preserve">1 April </w:t>
            </w:r>
          </w:p>
        </w:tc>
        <w:tc>
          <w:tcPr>
            <w:tcW w:w="3927" w:type="dxa"/>
          </w:tcPr>
          <w:p w14:paraId="2D22FD14" w14:textId="77777777" w:rsidR="006869AB" w:rsidRPr="00ED1FFA" w:rsidRDefault="006869AB" w:rsidP="00D909F4">
            <w:pPr>
              <w:rPr>
                <w:rFonts w:ascii="Arial" w:hAnsi="Arial" w:cs="Arial"/>
                <w:sz w:val="24"/>
                <w:szCs w:val="24"/>
              </w:rPr>
            </w:pPr>
            <w:r w:rsidRPr="00ED1FFA">
              <w:rPr>
                <w:rFonts w:ascii="Arial" w:hAnsi="Arial" w:cs="Arial"/>
                <w:sz w:val="24"/>
                <w:szCs w:val="24"/>
              </w:rPr>
              <w:t>Support staff – excluding Facilities staff</w:t>
            </w:r>
          </w:p>
        </w:tc>
      </w:tr>
      <w:tr w:rsidR="006869AB" w:rsidRPr="00ED1FFA" w14:paraId="5C5974BE" w14:textId="77777777" w:rsidTr="00D909F4">
        <w:tc>
          <w:tcPr>
            <w:tcW w:w="2843" w:type="dxa"/>
          </w:tcPr>
          <w:p w14:paraId="4F1CDC14" w14:textId="77777777" w:rsidR="006869AB" w:rsidRPr="00ED1FFA" w:rsidRDefault="006869AB" w:rsidP="00D909F4">
            <w:pPr>
              <w:rPr>
                <w:rFonts w:ascii="Arial" w:hAnsi="Arial" w:cs="Arial"/>
                <w:sz w:val="24"/>
                <w:szCs w:val="24"/>
              </w:rPr>
            </w:pPr>
            <w:r w:rsidRPr="00ED1FFA">
              <w:rPr>
                <w:rFonts w:ascii="Arial" w:hAnsi="Arial" w:cs="Arial"/>
                <w:sz w:val="24"/>
                <w:szCs w:val="24"/>
              </w:rPr>
              <w:t xml:space="preserve">1 August </w:t>
            </w:r>
          </w:p>
        </w:tc>
        <w:tc>
          <w:tcPr>
            <w:tcW w:w="3927" w:type="dxa"/>
          </w:tcPr>
          <w:p w14:paraId="2133D405" w14:textId="77777777" w:rsidR="006869AB" w:rsidRPr="00ED1FFA" w:rsidRDefault="006869AB" w:rsidP="00D909F4">
            <w:pPr>
              <w:rPr>
                <w:rFonts w:ascii="Arial" w:hAnsi="Arial" w:cs="Arial"/>
                <w:sz w:val="24"/>
                <w:szCs w:val="24"/>
              </w:rPr>
            </w:pPr>
            <w:r w:rsidRPr="00ED1FFA">
              <w:rPr>
                <w:rFonts w:ascii="Arial" w:hAnsi="Arial" w:cs="Arial"/>
                <w:sz w:val="24"/>
                <w:szCs w:val="24"/>
              </w:rPr>
              <w:t>Facilities staff</w:t>
            </w:r>
          </w:p>
        </w:tc>
      </w:tr>
      <w:tr w:rsidR="006869AB" w:rsidRPr="00ED1FFA" w14:paraId="6FCD813E" w14:textId="77777777" w:rsidTr="00D909F4">
        <w:tc>
          <w:tcPr>
            <w:tcW w:w="2843" w:type="dxa"/>
          </w:tcPr>
          <w:p w14:paraId="6EE08E50" w14:textId="77777777" w:rsidR="006869AB" w:rsidRPr="00ED1FFA" w:rsidRDefault="006869AB" w:rsidP="00D909F4">
            <w:pPr>
              <w:rPr>
                <w:rFonts w:ascii="Arial" w:hAnsi="Arial" w:cs="Arial"/>
                <w:sz w:val="24"/>
                <w:szCs w:val="24"/>
              </w:rPr>
            </w:pPr>
            <w:r w:rsidRPr="00ED1FFA">
              <w:rPr>
                <w:rFonts w:ascii="Arial" w:hAnsi="Arial" w:cs="Arial"/>
                <w:sz w:val="24"/>
                <w:szCs w:val="24"/>
              </w:rPr>
              <w:t xml:space="preserve">1 September </w:t>
            </w:r>
          </w:p>
        </w:tc>
        <w:tc>
          <w:tcPr>
            <w:tcW w:w="3927" w:type="dxa"/>
          </w:tcPr>
          <w:p w14:paraId="37C0857B" w14:textId="77777777" w:rsidR="006869AB" w:rsidRPr="00ED1FFA" w:rsidRDefault="006869AB" w:rsidP="00D909F4">
            <w:pPr>
              <w:rPr>
                <w:rFonts w:ascii="Arial" w:hAnsi="Arial" w:cs="Arial"/>
                <w:sz w:val="24"/>
                <w:szCs w:val="24"/>
              </w:rPr>
            </w:pPr>
            <w:r w:rsidRPr="00ED1FFA">
              <w:rPr>
                <w:rFonts w:ascii="Arial" w:hAnsi="Arial" w:cs="Arial"/>
                <w:sz w:val="24"/>
                <w:szCs w:val="24"/>
              </w:rPr>
              <w:t>Academic staff</w:t>
            </w:r>
          </w:p>
        </w:tc>
      </w:tr>
    </w:tbl>
    <w:p w14:paraId="39E42541" w14:textId="77777777" w:rsidR="006869AB" w:rsidRPr="00ED1FFA" w:rsidRDefault="006869AB" w:rsidP="001F0A7D">
      <w:pPr>
        <w:ind w:left="360"/>
        <w:rPr>
          <w:rFonts w:ascii="Arial" w:hAnsi="Arial" w:cs="Arial"/>
          <w:sz w:val="24"/>
          <w:szCs w:val="24"/>
        </w:rPr>
      </w:pPr>
    </w:p>
    <w:p w14:paraId="007600AA" w14:textId="77777777" w:rsidR="006869AB" w:rsidRPr="00ED1FFA" w:rsidRDefault="002C2E85" w:rsidP="001F0A7D">
      <w:pPr>
        <w:ind w:left="360"/>
        <w:rPr>
          <w:rFonts w:ascii="Arial" w:hAnsi="Arial" w:cs="Arial"/>
          <w:sz w:val="24"/>
          <w:szCs w:val="24"/>
        </w:rPr>
      </w:pPr>
      <w:r w:rsidRPr="00ED1FFA">
        <w:rPr>
          <w:rFonts w:ascii="Arial" w:hAnsi="Arial" w:cs="Arial"/>
          <w:sz w:val="24"/>
          <w:szCs w:val="24"/>
        </w:rPr>
        <w:t xml:space="preserve">providing the staff member is working in the </w:t>
      </w:r>
      <w:r w:rsidR="006869AB" w:rsidRPr="00ED1FFA">
        <w:rPr>
          <w:rFonts w:ascii="Arial" w:hAnsi="Arial" w:cs="Arial"/>
          <w:sz w:val="24"/>
          <w:szCs w:val="24"/>
        </w:rPr>
        <w:t>post on that date</w:t>
      </w:r>
      <w:r w:rsidRPr="00ED1FFA">
        <w:rPr>
          <w:rFonts w:ascii="Arial" w:hAnsi="Arial" w:cs="Arial"/>
          <w:sz w:val="24"/>
          <w:szCs w:val="24"/>
        </w:rPr>
        <w:t xml:space="preserve"> and t</w:t>
      </w:r>
      <w:r w:rsidR="006869AB" w:rsidRPr="00ED1FFA">
        <w:rPr>
          <w:rFonts w:ascii="Arial" w:hAnsi="Arial" w:cs="Arial"/>
          <w:sz w:val="24"/>
          <w:szCs w:val="24"/>
        </w:rPr>
        <w:t>hey have been</w:t>
      </w:r>
      <w:r w:rsidRPr="00ED1FFA">
        <w:rPr>
          <w:rFonts w:ascii="Arial" w:hAnsi="Arial" w:cs="Arial"/>
          <w:sz w:val="24"/>
          <w:szCs w:val="24"/>
        </w:rPr>
        <w:t xml:space="preserve"> employed at the University</w:t>
      </w:r>
      <w:r w:rsidR="006869AB" w:rsidRPr="00ED1FFA">
        <w:rPr>
          <w:rFonts w:ascii="Arial" w:hAnsi="Arial" w:cs="Arial"/>
          <w:sz w:val="24"/>
          <w:szCs w:val="24"/>
        </w:rPr>
        <w:t xml:space="preserve"> for 6 months.</w:t>
      </w:r>
    </w:p>
    <w:p w14:paraId="1CAFCF54" w14:textId="7B541964" w:rsidR="006869AB" w:rsidRPr="00ED1FFA" w:rsidRDefault="006869AB" w:rsidP="001F0A7D">
      <w:pPr>
        <w:ind w:left="360"/>
        <w:rPr>
          <w:rFonts w:ascii="Arial" w:hAnsi="Arial" w:cs="Arial"/>
          <w:sz w:val="24"/>
          <w:szCs w:val="24"/>
        </w:rPr>
      </w:pPr>
      <w:r w:rsidRPr="00ED1FFA">
        <w:rPr>
          <w:rFonts w:ascii="Arial" w:hAnsi="Arial" w:cs="Arial"/>
          <w:sz w:val="24"/>
          <w:szCs w:val="24"/>
        </w:rPr>
        <w:t>If they are in post on the given date but have not completed 6 months</w:t>
      </w:r>
      <w:r w:rsidR="00ED1FFA">
        <w:rPr>
          <w:rFonts w:ascii="Arial" w:hAnsi="Arial" w:cs="Arial"/>
          <w:sz w:val="24"/>
          <w:szCs w:val="24"/>
        </w:rPr>
        <w:t>’</w:t>
      </w:r>
      <w:r w:rsidRPr="00ED1FFA">
        <w:rPr>
          <w:rFonts w:ascii="Arial" w:hAnsi="Arial" w:cs="Arial"/>
          <w:sz w:val="24"/>
          <w:szCs w:val="24"/>
        </w:rPr>
        <w:t xml:space="preserve"> service, then the increment is due on the 1</w:t>
      </w:r>
      <w:r w:rsidRPr="00ED1FFA">
        <w:rPr>
          <w:rFonts w:ascii="Arial" w:hAnsi="Arial" w:cs="Arial"/>
          <w:sz w:val="24"/>
          <w:szCs w:val="24"/>
          <w:vertAlign w:val="superscript"/>
        </w:rPr>
        <w:t>st</w:t>
      </w:r>
      <w:r w:rsidRPr="00ED1FFA">
        <w:rPr>
          <w:rFonts w:ascii="Arial" w:hAnsi="Arial" w:cs="Arial"/>
          <w:sz w:val="24"/>
          <w:szCs w:val="24"/>
        </w:rPr>
        <w:t xml:space="preserve"> of the month following completion of 6 months</w:t>
      </w:r>
      <w:r w:rsidR="00ED1FFA">
        <w:rPr>
          <w:rFonts w:ascii="Arial" w:hAnsi="Arial" w:cs="Arial"/>
          <w:sz w:val="24"/>
          <w:szCs w:val="24"/>
        </w:rPr>
        <w:t>’</w:t>
      </w:r>
      <w:r w:rsidRPr="00ED1FFA">
        <w:rPr>
          <w:rFonts w:ascii="Arial" w:hAnsi="Arial" w:cs="Arial"/>
          <w:sz w:val="24"/>
          <w:szCs w:val="24"/>
        </w:rPr>
        <w:t xml:space="preserve"> service in that role.  </w:t>
      </w:r>
    </w:p>
    <w:p w14:paraId="1FB17C3F" w14:textId="08B5EB43" w:rsidR="006869AB" w:rsidRDefault="002C2E85" w:rsidP="00ED1FFA">
      <w:pPr>
        <w:pStyle w:val="CommentText"/>
        <w:ind w:left="360"/>
        <w:rPr>
          <w:rFonts w:ascii="Arial" w:hAnsi="Arial" w:cs="Arial"/>
          <w:sz w:val="24"/>
          <w:szCs w:val="24"/>
        </w:rPr>
      </w:pPr>
      <w:r>
        <w:rPr>
          <w:rFonts w:ascii="Arial" w:hAnsi="Arial" w:cs="Arial"/>
          <w:sz w:val="24"/>
          <w:szCs w:val="24"/>
        </w:rPr>
        <w:t>Where an existing employee is appointed to a new post normal annual incremental progression will apply at the scheduled time without a need to gain six months’ service in the new post (1</w:t>
      </w:r>
      <w:r w:rsidRPr="003B55CF">
        <w:rPr>
          <w:rFonts w:ascii="Arial" w:hAnsi="Arial" w:cs="Arial"/>
          <w:sz w:val="24"/>
          <w:szCs w:val="24"/>
          <w:vertAlign w:val="superscript"/>
        </w:rPr>
        <w:t>st</w:t>
      </w:r>
      <w:r>
        <w:rPr>
          <w:rFonts w:ascii="Arial" w:hAnsi="Arial" w:cs="Arial"/>
          <w:sz w:val="24"/>
          <w:szCs w:val="24"/>
        </w:rPr>
        <w:t xml:space="preserve"> April for professional support staff excluding facilities, 1</w:t>
      </w:r>
      <w:r w:rsidRPr="003B55CF">
        <w:rPr>
          <w:rFonts w:ascii="Arial" w:hAnsi="Arial" w:cs="Arial"/>
          <w:sz w:val="24"/>
          <w:szCs w:val="24"/>
          <w:vertAlign w:val="superscript"/>
        </w:rPr>
        <w:t>st</w:t>
      </w:r>
      <w:r>
        <w:rPr>
          <w:rFonts w:ascii="Arial" w:hAnsi="Arial" w:cs="Arial"/>
          <w:sz w:val="24"/>
          <w:szCs w:val="24"/>
        </w:rPr>
        <w:t xml:space="preserve"> August for facilities staff and 1</w:t>
      </w:r>
      <w:r>
        <w:rPr>
          <w:rFonts w:ascii="Arial" w:hAnsi="Arial" w:cs="Arial"/>
          <w:sz w:val="24"/>
          <w:szCs w:val="24"/>
          <w:vertAlign w:val="superscript"/>
        </w:rPr>
        <w:t xml:space="preserve">st </w:t>
      </w:r>
      <w:r>
        <w:rPr>
          <w:rFonts w:ascii="Arial" w:hAnsi="Arial" w:cs="Arial"/>
          <w:sz w:val="24"/>
          <w:szCs w:val="24"/>
        </w:rPr>
        <w:t>September for academic staff).</w:t>
      </w:r>
    </w:p>
    <w:p w14:paraId="2A391366" w14:textId="77777777" w:rsidR="005B0BB2" w:rsidRDefault="005B0BB2" w:rsidP="005B0BB2">
      <w:pPr>
        <w:rPr>
          <w:rFonts w:ascii="Arial" w:hAnsi="Arial" w:cs="Arial"/>
          <w:b/>
          <w:sz w:val="24"/>
          <w:szCs w:val="24"/>
        </w:rPr>
      </w:pPr>
    </w:p>
    <w:p w14:paraId="2BB7FC9B" w14:textId="77777777" w:rsidR="00ED1FFA" w:rsidRDefault="00ED1FFA" w:rsidP="005B0BB2">
      <w:pPr>
        <w:rPr>
          <w:rFonts w:ascii="Arial" w:hAnsi="Arial" w:cs="Arial"/>
          <w:b/>
          <w:sz w:val="24"/>
          <w:szCs w:val="24"/>
        </w:rPr>
      </w:pPr>
    </w:p>
    <w:p w14:paraId="581291C0" w14:textId="77777777" w:rsidR="00ED1FFA" w:rsidRDefault="00ED1FFA" w:rsidP="005B0BB2">
      <w:pPr>
        <w:rPr>
          <w:rFonts w:ascii="Arial" w:hAnsi="Arial" w:cs="Arial"/>
          <w:b/>
          <w:sz w:val="24"/>
          <w:szCs w:val="24"/>
        </w:rPr>
      </w:pPr>
    </w:p>
    <w:p w14:paraId="41EA0A86" w14:textId="77777777" w:rsidR="00E16BFA" w:rsidRPr="005B0BB2" w:rsidRDefault="00E16BFA" w:rsidP="00E16BFA">
      <w:pPr>
        <w:rPr>
          <w:rFonts w:ascii="Arial" w:hAnsi="Arial" w:cs="Arial"/>
          <w:b/>
          <w:sz w:val="24"/>
          <w:szCs w:val="24"/>
        </w:rPr>
      </w:pPr>
      <w:r w:rsidRPr="005B0BB2">
        <w:rPr>
          <w:rFonts w:ascii="Arial" w:hAnsi="Arial" w:cs="Arial"/>
          <w:b/>
          <w:sz w:val="24"/>
          <w:szCs w:val="24"/>
        </w:rPr>
        <w:t>Acting Up Allowances</w:t>
      </w:r>
    </w:p>
    <w:p w14:paraId="4AA29191" w14:textId="00DB5EE1" w:rsidR="00E16BFA" w:rsidRDefault="00E16BFA" w:rsidP="00E16BFA">
      <w:pPr>
        <w:pStyle w:val="ListParagraph"/>
        <w:numPr>
          <w:ilvl w:val="0"/>
          <w:numId w:val="11"/>
        </w:numPr>
        <w:rPr>
          <w:rFonts w:ascii="Arial" w:hAnsi="Arial" w:cs="Arial"/>
          <w:sz w:val="24"/>
          <w:szCs w:val="24"/>
        </w:rPr>
      </w:pPr>
      <w:r w:rsidRPr="00E16BFA">
        <w:rPr>
          <w:rFonts w:ascii="Arial" w:hAnsi="Arial" w:cs="Arial"/>
          <w:sz w:val="24"/>
          <w:szCs w:val="24"/>
        </w:rPr>
        <w:t>Employees appointed to an “acting” role will receive an allowance in addition to their current salary for the period of the acting up</w:t>
      </w:r>
    </w:p>
    <w:p w14:paraId="7AD39329" w14:textId="77777777" w:rsidR="00E16BFA" w:rsidRPr="00E16BFA" w:rsidRDefault="00E16BFA" w:rsidP="00E16BFA">
      <w:pPr>
        <w:pStyle w:val="ListParagraph"/>
        <w:ind w:left="862"/>
        <w:rPr>
          <w:rFonts w:ascii="Arial" w:hAnsi="Arial" w:cs="Arial"/>
          <w:sz w:val="24"/>
          <w:szCs w:val="24"/>
        </w:rPr>
      </w:pPr>
    </w:p>
    <w:p w14:paraId="1656F8C2" w14:textId="7A26B611" w:rsidR="00E16BFA" w:rsidRDefault="00E16BFA" w:rsidP="00B8307D">
      <w:pPr>
        <w:pStyle w:val="ListParagraph"/>
        <w:numPr>
          <w:ilvl w:val="0"/>
          <w:numId w:val="11"/>
        </w:numPr>
        <w:spacing w:after="0"/>
        <w:rPr>
          <w:rFonts w:ascii="Arial" w:hAnsi="Arial" w:cs="Arial"/>
          <w:sz w:val="24"/>
          <w:szCs w:val="24"/>
        </w:rPr>
      </w:pPr>
      <w:r w:rsidRPr="00E16BFA">
        <w:rPr>
          <w:rFonts w:ascii="Arial" w:hAnsi="Arial" w:cs="Arial"/>
          <w:sz w:val="24"/>
          <w:szCs w:val="24"/>
        </w:rPr>
        <w:t xml:space="preserve">The allowance will be paid in equal monthly instalments in addition to their normal monthly salary and will be subject to tax and national insurance </w:t>
      </w:r>
      <w:r w:rsidRPr="00E16BFA">
        <w:rPr>
          <w:rFonts w:ascii="Arial" w:hAnsi="Arial" w:cs="Arial"/>
          <w:sz w:val="24"/>
          <w:szCs w:val="24"/>
        </w:rPr>
        <w:lastRenderedPageBreak/>
        <w:t>deductions. The sum will not be subject to the cost of living annual inflationary increase.</w:t>
      </w:r>
    </w:p>
    <w:p w14:paraId="0454E81C" w14:textId="77777777" w:rsidR="00B8307D" w:rsidRPr="00B8307D" w:rsidRDefault="00B8307D" w:rsidP="00B8307D">
      <w:pPr>
        <w:pStyle w:val="ListParagraph"/>
        <w:spacing w:after="0"/>
        <w:rPr>
          <w:rFonts w:ascii="Arial" w:hAnsi="Arial" w:cs="Arial"/>
          <w:sz w:val="24"/>
          <w:szCs w:val="24"/>
        </w:rPr>
      </w:pPr>
    </w:p>
    <w:p w14:paraId="683F00C4" w14:textId="6BE1B958" w:rsidR="00E16BFA" w:rsidRPr="00E16BFA" w:rsidRDefault="00E16BFA" w:rsidP="00B8307D">
      <w:pPr>
        <w:pStyle w:val="ListParagraph"/>
        <w:numPr>
          <w:ilvl w:val="0"/>
          <w:numId w:val="11"/>
        </w:numPr>
        <w:spacing w:after="0"/>
        <w:rPr>
          <w:rStyle w:val="Hyperlink"/>
          <w:rFonts w:ascii="Arial" w:hAnsi="Arial" w:cs="Arial"/>
          <w:color w:val="auto"/>
          <w:sz w:val="24"/>
          <w:szCs w:val="24"/>
          <w:u w:val="none"/>
        </w:rPr>
      </w:pPr>
      <w:r w:rsidRPr="00E16BFA">
        <w:rPr>
          <w:rFonts w:ascii="Arial" w:hAnsi="Arial" w:cs="Arial"/>
          <w:sz w:val="24"/>
          <w:szCs w:val="24"/>
        </w:rPr>
        <w:t xml:space="preserve">The allowance may or may not be pensionable, depending on the particular rules of the particular pension scheme and the employee’s individual circumstances. The link to the relevant university pension schemes is </w:t>
      </w:r>
      <w:hyperlink r:id="rId6" w:history="1">
        <w:r w:rsidRPr="00E16BFA">
          <w:rPr>
            <w:rStyle w:val="Hyperlink"/>
            <w:rFonts w:ascii="Arial" w:hAnsi="Arial" w:cs="Arial"/>
            <w:b/>
            <w:sz w:val="24"/>
            <w:szCs w:val="24"/>
          </w:rPr>
          <w:t>here.</w:t>
        </w:r>
      </w:hyperlink>
    </w:p>
    <w:p w14:paraId="4D90555C" w14:textId="77777777" w:rsidR="00E16BFA" w:rsidRPr="00E16BFA" w:rsidRDefault="00E16BFA" w:rsidP="00E16BFA">
      <w:pPr>
        <w:pStyle w:val="ListParagraph"/>
        <w:ind w:left="862"/>
        <w:rPr>
          <w:rFonts w:ascii="Arial" w:hAnsi="Arial" w:cs="Arial"/>
          <w:sz w:val="24"/>
          <w:szCs w:val="24"/>
        </w:rPr>
      </w:pPr>
    </w:p>
    <w:p w14:paraId="540D5909" w14:textId="678B70E2" w:rsidR="00E16BFA" w:rsidRPr="00E16BFA" w:rsidRDefault="00E16BFA" w:rsidP="00E16BFA">
      <w:pPr>
        <w:pStyle w:val="ListParagraph"/>
        <w:numPr>
          <w:ilvl w:val="0"/>
          <w:numId w:val="11"/>
        </w:numPr>
        <w:rPr>
          <w:rFonts w:ascii="Arial" w:hAnsi="Arial" w:cs="Arial"/>
          <w:sz w:val="24"/>
          <w:szCs w:val="24"/>
        </w:rPr>
      </w:pPr>
      <w:r w:rsidRPr="00E16BFA">
        <w:rPr>
          <w:rFonts w:ascii="Arial" w:hAnsi="Arial" w:cs="Arial"/>
          <w:sz w:val="24"/>
          <w:szCs w:val="24"/>
        </w:rPr>
        <w:t>Where an employee is appointed to an ‘</w:t>
      </w:r>
      <w:r w:rsidR="00267D8A">
        <w:rPr>
          <w:rFonts w:ascii="Arial" w:hAnsi="Arial" w:cs="Arial"/>
          <w:sz w:val="24"/>
          <w:szCs w:val="24"/>
        </w:rPr>
        <w:t>’</w:t>
      </w:r>
      <w:r w:rsidRPr="00E16BFA">
        <w:rPr>
          <w:rFonts w:ascii="Arial" w:hAnsi="Arial" w:cs="Arial"/>
          <w:sz w:val="24"/>
          <w:szCs w:val="24"/>
        </w:rPr>
        <w:t>acting’</w:t>
      </w:r>
      <w:r w:rsidR="00267D8A">
        <w:rPr>
          <w:rFonts w:ascii="Arial" w:hAnsi="Arial" w:cs="Arial"/>
          <w:sz w:val="24"/>
          <w:szCs w:val="24"/>
        </w:rPr>
        <w:t>’</w:t>
      </w:r>
      <w:r w:rsidRPr="00E16BFA">
        <w:rPr>
          <w:rFonts w:ascii="Arial" w:hAnsi="Arial" w:cs="Arial"/>
          <w:sz w:val="24"/>
          <w:szCs w:val="24"/>
        </w:rPr>
        <w:t xml:space="preserve"> role, the remuneration for additional duties will be discussed and agreed with the Head of Institute / Department.  Advice should be sought from The Director of Human Resources, to ensure that the allowance is equitable in relation to other acting up positions across the university.</w:t>
      </w:r>
    </w:p>
    <w:p w14:paraId="020DD0EB" w14:textId="77777777" w:rsidR="00801F03" w:rsidRPr="00801F03" w:rsidRDefault="00801F03" w:rsidP="00801F03">
      <w:pPr>
        <w:spacing w:after="0"/>
        <w:rPr>
          <w:rFonts w:ascii="Arial" w:hAnsi="Arial" w:cs="Arial"/>
          <w:b/>
          <w:sz w:val="24"/>
          <w:szCs w:val="24"/>
        </w:rPr>
      </w:pPr>
    </w:p>
    <w:p w14:paraId="67147A3F" w14:textId="77777777" w:rsidR="007215CF" w:rsidRPr="00801F03" w:rsidRDefault="007215CF" w:rsidP="00801F03">
      <w:pPr>
        <w:rPr>
          <w:rFonts w:ascii="Arial" w:hAnsi="Arial" w:cs="Arial"/>
          <w:b/>
          <w:sz w:val="24"/>
          <w:szCs w:val="24"/>
        </w:rPr>
      </w:pPr>
    </w:p>
    <w:p w14:paraId="2F782084" w14:textId="77777777" w:rsidR="00856D19" w:rsidRDefault="00856D19"/>
    <w:sectPr w:rsidR="00856D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720E0"/>
    <w:multiLevelType w:val="hybridMultilevel"/>
    <w:tmpl w:val="6A7E0262"/>
    <w:lvl w:ilvl="0" w:tplc="25A69D42">
      <w:start w:val="18"/>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15D94A4A"/>
    <w:multiLevelType w:val="multilevel"/>
    <w:tmpl w:val="7E80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6A2E07"/>
    <w:multiLevelType w:val="hybridMultilevel"/>
    <w:tmpl w:val="CC86DFA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A1324B"/>
    <w:multiLevelType w:val="hybridMultilevel"/>
    <w:tmpl w:val="082A9A6C"/>
    <w:lvl w:ilvl="0" w:tplc="CCBE28CE">
      <w:start w:val="1"/>
      <w:numFmt w:val="decimal"/>
      <w:lvlText w:val="%1."/>
      <w:lvlJc w:val="left"/>
      <w:pPr>
        <w:ind w:left="502"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2F5A66"/>
    <w:multiLevelType w:val="hybridMultilevel"/>
    <w:tmpl w:val="357ADAAC"/>
    <w:lvl w:ilvl="0" w:tplc="0809000F">
      <w:start w:val="18"/>
      <w:numFmt w:val="decimal"/>
      <w:lvlText w:val="%1."/>
      <w:lvlJc w:val="left"/>
      <w:pPr>
        <w:ind w:left="568" w:hanging="360"/>
      </w:pPr>
      <w:rPr>
        <w:rFonts w:hint="default"/>
      </w:rPr>
    </w:lvl>
    <w:lvl w:ilvl="1" w:tplc="08090019" w:tentative="1">
      <w:start w:val="1"/>
      <w:numFmt w:val="lowerLetter"/>
      <w:lvlText w:val="%2."/>
      <w:lvlJc w:val="left"/>
      <w:pPr>
        <w:ind w:left="1288" w:hanging="360"/>
      </w:pPr>
    </w:lvl>
    <w:lvl w:ilvl="2" w:tplc="0809001B" w:tentative="1">
      <w:start w:val="1"/>
      <w:numFmt w:val="lowerRoman"/>
      <w:lvlText w:val="%3."/>
      <w:lvlJc w:val="right"/>
      <w:pPr>
        <w:ind w:left="2008" w:hanging="180"/>
      </w:pPr>
    </w:lvl>
    <w:lvl w:ilvl="3" w:tplc="0809000F" w:tentative="1">
      <w:start w:val="1"/>
      <w:numFmt w:val="decimal"/>
      <w:lvlText w:val="%4."/>
      <w:lvlJc w:val="left"/>
      <w:pPr>
        <w:ind w:left="2728" w:hanging="360"/>
      </w:pPr>
    </w:lvl>
    <w:lvl w:ilvl="4" w:tplc="08090019" w:tentative="1">
      <w:start w:val="1"/>
      <w:numFmt w:val="lowerLetter"/>
      <w:lvlText w:val="%5."/>
      <w:lvlJc w:val="left"/>
      <w:pPr>
        <w:ind w:left="3448" w:hanging="360"/>
      </w:pPr>
    </w:lvl>
    <w:lvl w:ilvl="5" w:tplc="0809001B" w:tentative="1">
      <w:start w:val="1"/>
      <w:numFmt w:val="lowerRoman"/>
      <w:lvlText w:val="%6."/>
      <w:lvlJc w:val="right"/>
      <w:pPr>
        <w:ind w:left="4168" w:hanging="180"/>
      </w:pPr>
    </w:lvl>
    <w:lvl w:ilvl="6" w:tplc="0809000F" w:tentative="1">
      <w:start w:val="1"/>
      <w:numFmt w:val="decimal"/>
      <w:lvlText w:val="%7."/>
      <w:lvlJc w:val="left"/>
      <w:pPr>
        <w:ind w:left="4888" w:hanging="360"/>
      </w:pPr>
    </w:lvl>
    <w:lvl w:ilvl="7" w:tplc="08090019" w:tentative="1">
      <w:start w:val="1"/>
      <w:numFmt w:val="lowerLetter"/>
      <w:lvlText w:val="%8."/>
      <w:lvlJc w:val="left"/>
      <w:pPr>
        <w:ind w:left="5608" w:hanging="360"/>
      </w:pPr>
    </w:lvl>
    <w:lvl w:ilvl="8" w:tplc="0809001B" w:tentative="1">
      <w:start w:val="1"/>
      <w:numFmt w:val="lowerRoman"/>
      <w:lvlText w:val="%9."/>
      <w:lvlJc w:val="right"/>
      <w:pPr>
        <w:ind w:left="6328" w:hanging="180"/>
      </w:pPr>
    </w:lvl>
  </w:abstractNum>
  <w:abstractNum w:abstractNumId="5" w15:restartNumberingAfterBreak="0">
    <w:nsid w:val="54F760DF"/>
    <w:multiLevelType w:val="hybridMultilevel"/>
    <w:tmpl w:val="E47E53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0D74EC"/>
    <w:multiLevelType w:val="hybridMultilevel"/>
    <w:tmpl w:val="A4EA3A6A"/>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D35A86"/>
    <w:multiLevelType w:val="hybridMultilevel"/>
    <w:tmpl w:val="A46A24DA"/>
    <w:lvl w:ilvl="0" w:tplc="0809000F">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D21D0F"/>
    <w:multiLevelType w:val="hybridMultilevel"/>
    <w:tmpl w:val="86981B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FDF5121"/>
    <w:multiLevelType w:val="hybridMultilevel"/>
    <w:tmpl w:val="9FD648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6"/>
  </w:num>
  <w:num w:numId="4">
    <w:abstractNumId w:val="9"/>
  </w:num>
  <w:num w:numId="5">
    <w:abstractNumId w:val="2"/>
  </w:num>
  <w:num w:numId="6">
    <w:abstractNumId w:val="8"/>
  </w:num>
  <w:num w:numId="7">
    <w:abstractNumId w:val="5"/>
  </w:num>
  <w:num w:numId="8">
    <w:abstractNumId w:val="8"/>
  </w:num>
  <w:num w:numId="9">
    <w:abstractNumId w:val="4"/>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C99"/>
    <w:rsid w:val="000118D9"/>
    <w:rsid w:val="00022C90"/>
    <w:rsid w:val="00120653"/>
    <w:rsid w:val="0013229A"/>
    <w:rsid w:val="00136FEB"/>
    <w:rsid w:val="001420FD"/>
    <w:rsid w:val="00143742"/>
    <w:rsid w:val="001F0A7D"/>
    <w:rsid w:val="0025208B"/>
    <w:rsid w:val="00267D8A"/>
    <w:rsid w:val="0028136C"/>
    <w:rsid w:val="002C2E85"/>
    <w:rsid w:val="002E7AB6"/>
    <w:rsid w:val="0032503A"/>
    <w:rsid w:val="00342969"/>
    <w:rsid w:val="00354B9E"/>
    <w:rsid w:val="00390779"/>
    <w:rsid w:val="003B55CF"/>
    <w:rsid w:val="004001D3"/>
    <w:rsid w:val="00443720"/>
    <w:rsid w:val="00493912"/>
    <w:rsid w:val="00505BD9"/>
    <w:rsid w:val="00541A5A"/>
    <w:rsid w:val="005B0BB2"/>
    <w:rsid w:val="005C6D18"/>
    <w:rsid w:val="005E6F2A"/>
    <w:rsid w:val="005F5657"/>
    <w:rsid w:val="006046A5"/>
    <w:rsid w:val="00623BEB"/>
    <w:rsid w:val="006869AB"/>
    <w:rsid w:val="006E2CD8"/>
    <w:rsid w:val="007215CF"/>
    <w:rsid w:val="00747E7E"/>
    <w:rsid w:val="00750448"/>
    <w:rsid w:val="00786E69"/>
    <w:rsid w:val="00801F03"/>
    <w:rsid w:val="008064A6"/>
    <w:rsid w:val="0084457C"/>
    <w:rsid w:val="00856D19"/>
    <w:rsid w:val="008E0EF2"/>
    <w:rsid w:val="00927FC4"/>
    <w:rsid w:val="00991DBE"/>
    <w:rsid w:val="009F3881"/>
    <w:rsid w:val="009F4054"/>
    <w:rsid w:val="00AA0C03"/>
    <w:rsid w:val="00AA516B"/>
    <w:rsid w:val="00AB0CF1"/>
    <w:rsid w:val="00AF215F"/>
    <w:rsid w:val="00B12BF5"/>
    <w:rsid w:val="00B1341C"/>
    <w:rsid w:val="00B74A7F"/>
    <w:rsid w:val="00B8307D"/>
    <w:rsid w:val="00BA30A5"/>
    <w:rsid w:val="00BC6F2A"/>
    <w:rsid w:val="00BE6760"/>
    <w:rsid w:val="00C143E4"/>
    <w:rsid w:val="00C90024"/>
    <w:rsid w:val="00D2417A"/>
    <w:rsid w:val="00E15822"/>
    <w:rsid w:val="00E16BFA"/>
    <w:rsid w:val="00ED1FFA"/>
    <w:rsid w:val="00EE7F9C"/>
    <w:rsid w:val="00F1766E"/>
    <w:rsid w:val="00F469CF"/>
    <w:rsid w:val="00F61CE3"/>
    <w:rsid w:val="00F83890"/>
    <w:rsid w:val="00F848AD"/>
    <w:rsid w:val="00FB7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4545C"/>
  <w15:chartTrackingRefBased/>
  <w15:docId w15:val="{A8AA93A6-49F2-4E71-82E9-37003BBDF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56D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856D1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505BD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56D19"/>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856D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856D19"/>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505BD9"/>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505BD9"/>
    <w:rPr>
      <w:color w:val="0000FF"/>
      <w:u w:val="single"/>
    </w:rPr>
  </w:style>
  <w:style w:type="character" w:styleId="Strong">
    <w:name w:val="Strong"/>
    <w:basedOn w:val="DefaultParagraphFont"/>
    <w:uiPriority w:val="22"/>
    <w:qFormat/>
    <w:rsid w:val="00505BD9"/>
    <w:rPr>
      <w:b/>
      <w:bCs/>
    </w:rPr>
  </w:style>
  <w:style w:type="character" w:styleId="Emphasis">
    <w:name w:val="Emphasis"/>
    <w:basedOn w:val="DefaultParagraphFont"/>
    <w:uiPriority w:val="20"/>
    <w:qFormat/>
    <w:rsid w:val="00505BD9"/>
    <w:rPr>
      <w:i/>
      <w:iCs/>
    </w:rPr>
  </w:style>
  <w:style w:type="paragraph" w:styleId="ListParagraph">
    <w:name w:val="List Paragraph"/>
    <w:basedOn w:val="Normal"/>
    <w:uiPriority w:val="34"/>
    <w:qFormat/>
    <w:rsid w:val="00F83890"/>
    <w:pPr>
      <w:ind w:left="720"/>
      <w:contextualSpacing/>
    </w:pPr>
  </w:style>
  <w:style w:type="character" w:styleId="FollowedHyperlink">
    <w:name w:val="FollowedHyperlink"/>
    <w:basedOn w:val="DefaultParagraphFont"/>
    <w:uiPriority w:val="99"/>
    <w:semiHidden/>
    <w:unhideWhenUsed/>
    <w:rsid w:val="00120653"/>
    <w:rPr>
      <w:color w:val="954F72" w:themeColor="followedHyperlink"/>
      <w:u w:val="single"/>
    </w:rPr>
  </w:style>
  <w:style w:type="character" w:styleId="CommentReference">
    <w:name w:val="annotation reference"/>
    <w:basedOn w:val="DefaultParagraphFont"/>
    <w:uiPriority w:val="99"/>
    <w:semiHidden/>
    <w:unhideWhenUsed/>
    <w:rsid w:val="00143742"/>
    <w:rPr>
      <w:sz w:val="16"/>
      <w:szCs w:val="16"/>
    </w:rPr>
  </w:style>
  <w:style w:type="paragraph" w:styleId="CommentText">
    <w:name w:val="annotation text"/>
    <w:basedOn w:val="Normal"/>
    <w:link w:val="CommentTextChar"/>
    <w:uiPriority w:val="99"/>
    <w:semiHidden/>
    <w:unhideWhenUsed/>
    <w:rsid w:val="00143742"/>
    <w:pPr>
      <w:spacing w:line="240" w:lineRule="auto"/>
    </w:pPr>
    <w:rPr>
      <w:sz w:val="20"/>
      <w:szCs w:val="20"/>
    </w:rPr>
  </w:style>
  <w:style w:type="character" w:customStyle="1" w:styleId="CommentTextChar">
    <w:name w:val="Comment Text Char"/>
    <w:basedOn w:val="DefaultParagraphFont"/>
    <w:link w:val="CommentText"/>
    <w:uiPriority w:val="99"/>
    <w:semiHidden/>
    <w:rsid w:val="00143742"/>
    <w:rPr>
      <w:sz w:val="20"/>
      <w:szCs w:val="20"/>
    </w:rPr>
  </w:style>
  <w:style w:type="paragraph" w:styleId="CommentSubject">
    <w:name w:val="annotation subject"/>
    <w:basedOn w:val="CommentText"/>
    <w:next w:val="CommentText"/>
    <w:link w:val="CommentSubjectChar"/>
    <w:uiPriority w:val="99"/>
    <w:semiHidden/>
    <w:unhideWhenUsed/>
    <w:rsid w:val="00443720"/>
    <w:rPr>
      <w:b/>
      <w:bCs/>
    </w:rPr>
  </w:style>
  <w:style w:type="character" w:customStyle="1" w:styleId="CommentSubjectChar">
    <w:name w:val="Comment Subject Char"/>
    <w:basedOn w:val="CommentTextChar"/>
    <w:link w:val="CommentSubject"/>
    <w:uiPriority w:val="99"/>
    <w:semiHidden/>
    <w:rsid w:val="00443720"/>
    <w:rPr>
      <w:b/>
      <w:bCs/>
      <w:sz w:val="20"/>
      <w:szCs w:val="20"/>
    </w:rPr>
  </w:style>
  <w:style w:type="paragraph" w:styleId="BalloonText">
    <w:name w:val="Balloon Text"/>
    <w:basedOn w:val="Normal"/>
    <w:link w:val="BalloonTextChar"/>
    <w:uiPriority w:val="99"/>
    <w:semiHidden/>
    <w:unhideWhenUsed/>
    <w:rsid w:val="004437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720"/>
    <w:rPr>
      <w:rFonts w:ascii="Segoe UI" w:hAnsi="Segoe UI" w:cs="Segoe UI"/>
      <w:sz w:val="18"/>
      <w:szCs w:val="18"/>
    </w:rPr>
  </w:style>
  <w:style w:type="table" w:styleId="TableGrid">
    <w:name w:val="Table Grid"/>
    <w:basedOn w:val="TableNormal"/>
    <w:uiPriority w:val="59"/>
    <w:rsid w:val="00686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763992">
      <w:bodyDiv w:val="1"/>
      <w:marLeft w:val="0"/>
      <w:marRight w:val="0"/>
      <w:marTop w:val="0"/>
      <w:marBottom w:val="0"/>
      <w:divBdr>
        <w:top w:val="none" w:sz="0" w:space="0" w:color="auto"/>
        <w:left w:val="none" w:sz="0" w:space="0" w:color="auto"/>
        <w:bottom w:val="none" w:sz="0" w:space="0" w:color="auto"/>
        <w:right w:val="none" w:sz="0" w:space="0" w:color="auto"/>
      </w:divBdr>
      <w:divsChild>
        <w:div w:id="1314487265">
          <w:marLeft w:val="0"/>
          <w:marRight w:val="0"/>
          <w:marTop w:val="0"/>
          <w:marBottom w:val="0"/>
          <w:divBdr>
            <w:top w:val="none" w:sz="0" w:space="0" w:color="auto"/>
            <w:left w:val="none" w:sz="0" w:space="0" w:color="auto"/>
            <w:bottom w:val="none" w:sz="0" w:space="0" w:color="auto"/>
            <w:right w:val="none" w:sz="0" w:space="0" w:color="auto"/>
          </w:divBdr>
          <w:divsChild>
            <w:div w:id="1412002102">
              <w:marLeft w:val="0"/>
              <w:marRight w:val="0"/>
              <w:marTop w:val="0"/>
              <w:marBottom w:val="0"/>
              <w:divBdr>
                <w:top w:val="none" w:sz="0" w:space="0" w:color="auto"/>
                <w:left w:val="none" w:sz="0" w:space="0" w:color="auto"/>
                <w:bottom w:val="none" w:sz="0" w:space="0" w:color="auto"/>
                <w:right w:val="none" w:sz="0" w:space="0" w:color="auto"/>
              </w:divBdr>
              <w:divsChild>
                <w:div w:id="1143304312">
                  <w:marLeft w:val="0"/>
                  <w:marRight w:val="0"/>
                  <w:marTop w:val="0"/>
                  <w:marBottom w:val="0"/>
                  <w:divBdr>
                    <w:top w:val="none" w:sz="0" w:space="0" w:color="auto"/>
                    <w:left w:val="none" w:sz="0" w:space="0" w:color="auto"/>
                    <w:bottom w:val="none" w:sz="0" w:space="0" w:color="auto"/>
                    <w:right w:val="none" w:sz="0" w:space="0" w:color="auto"/>
                  </w:divBdr>
                  <w:divsChild>
                    <w:div w:id="1827361062">
                      <w:marLeft w:val="0"/>
                      <w:marRight w:val="0"/>
                      <w:marTop w:val="0"/>
                      <w:marBottom w:val="0"/>
                      <w:divBdr>
                        <w:top w:val="none" w:sz="0" w:space="0" w:color="auto"/>
                        <w:left w:val="none" w:sz="0" w:space="0" w:color="auto"/>
                        <w:bottom w:val="none" w:sz="0" w:space="0" w:color="auto"/>
                        <w:right w:val="none" w:sz="0" w:space="0" w:color="auto"/>
                      </w:divBdr>
                      <w:divsChild>
                        <w:div w:id="716858778">
                          <w:marLeft w:val="0"/>
                          <w:marRight w:val="0"/>
                          <w:marTop w:val="0"/>
                          <w:marBottom w:val="0"/>
                          <w:divBdr>
                            <w:top w:val="none" w:sz="0" w:space="0" w:color="auto"/>
                            <w:left w:val="none" w:sz="0" w:space="0" w:color="auto"/>
                            <w:bottom w:val="none" w:sz="0" w:space="0" w:color="auto"/>
                            <w:right w:val="none" w:sz="0" w:space="0" w:color="auto"/>
                          </w:divBdr>
                          <w:divsChild>
                            <w:div w:id="212881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072220">
      <w:bodyDiv w:val="1"/>
      <w:marLeft w:val="0"/>
      <w:marRight w:val="0"/>
      <w:marTop w:val="0"/>
      <w:marBottom w:val="0"/>
      <w:divBdr>
        <w:top w:val="none" w:sz="0" w:space="0" w:color="auto"/>
        <w:left w:val="none" w:sz="0" w:space="0" w:color="auto"/>
        <w:bottom w:val="none" w:sz="0" w:space="0" w:color="auto"/>
        <w:right w:val="none" w:sz="0" w:space="0" w:color="auto"/>
      </w:divBdr>
      <w:divsChild>
        <w:div w:id="1892378099">
          <w:marLeft w:val="0"/>
          <w:marRight w:val="0"/>
          <w:marTop w:val="0"/>
          <w:marBottom w:val="0"/>
          <w:divBdr>
            <w:top w:val="none" w:sz="0" w:space="0" w:color="auto"/>
            <w:left w:val="none" w:sz="0" w:space="0" w:color="auto"/>
            <w:bottom w:val="none" w:sz="0" w:space="0" w:color="auto"/>
            <w:right w:val="none" w:sz="0" w:space="0" w:color="auto"/>
          </w:divBdr>
          <w:divsChild>
            <w:div w:id="550464305">
              <w:marLeft w:val="0"/>
              <w:marRight w:val="0"/>
              <w:marTop w:val="0"/>
              <w:marBottom w:val="0"/>
              <w:divBdr>
                <w:top w:val="none" w:sz="0" w:space="0" w:color="auto"/>
                <w:left w:val="none" w:sz="0" w:space="0" w:color="auto"/>
                <w:bottom w:val="none" w:sz="0" w:space="0" w:color="auto"/>
                <w:right w:val="none" w:sz="0" w:space="0" w:color="auto"/>
              </w:divBdr>
              <w:divsChild>
                <w:div w:id="1315258163">
                  <w:marLeft w:val="0"/>
                  <w:marRight w:val="0"/>
                  <w:marTop w:val="0"/>
                  <w:marBottom w:val="0"/>
                  <w:divBdr>
                    <w:top w:val="none" w:sz="0" w:space="0" w:color="auto"/>
                    <w:left w:val="none" w:sz="0" w:space="0" w:color="auto"/>
                    <w:bottom w:val="none" w:sz="0" w:space="0" w:color="auto"/>
                    <w:right w:val="none" w:sz="0" w:space="0" w:color="auto"/>
                  </w:divBdr>
                  <w:divsChild>
                    <w:div w:id="43039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836000">
      <w:bodyDiv w:val="1"/>
      <w:marLeft w:val="0"/>
      <w:marRight w:val="0"/>
      <w:marTop w:val="0"/>
      <w:marBottom w:val="0"/>
      <w:divBdr>
        <w:top w:val="none" w:sz="0" w:space="0" w:color="auto"/>
        <w:left w:val="none" w:sz="0" w:space="0" w:color="auto"/>
        <w:bottom w:val="none" w:sz="0" w:space="0" w:color="auto"/>
        <w:right w:val="none" w:sz="0" w:space="0" w:color="auto"/>
      </w:divBdr>
    </w:div>
    <w:div w:id="1036925528">
      <w:bodyDiv w:val="1"/>
      <w:marLeft w:val="0"/>
      <w:marRight w:val="0"/>
      <w:marTop w:val="0"/>
      <w:marBottom w:val="0"/>
      <w:divBdr>
        <w:top w:val="none" w:sz="0" w:space="0" w:color="auto"/>
        <w:left w:val="none" w:sz="0" w:space="0" w:color="auto"/>
        <w:bottom w:val="none" w:sz="0" w:space="0" w:color="auto"/>
        <w:right w:val="none" w:sz="0" w:space="0" w:color="auto"/>
      </w:divBdr>
      <w:divsChild>
        <w:div w:id="2018848890">
          <w:marLeft w:val="0"/>
          <w:marRight w:val="0"/>
          <w:marTop w:val="0"/>
          <w:marBottom w:val="0"/>
          <w:divBdr>
            <w:top w:val="none" w:sz="0" w:space="0" w:color="auto"/>
            <w:left w:val="none" w:sz="0" w:space="0" w:color="auto"/>
            <w:bottom w:val="none" w:sz="0" w:space="0" w:color="auto"/>
            <w:right w:val="none" w:sz="0" w:space="0" w:color="auto"/>
          </w:divBdr>
          <w:divsChild>
            <w:div w:id="342708853">
              <w:marLeft w:val="0"/>
              <w:marRight w:val="0"/>
              <w:marTop w:val="0"/>
              <w:marBottom w:val="0"/>
              <w:divBdr>
                <w:top w:val="none" w:sz="0" w:space="0" w:color="auto"/>
                <w:left w:val="none" w:sz="0" w:space="0" w:color="auto"/>
                <w:bottom w:val="none" w:sz="0" w:space="0" w:color="auto"/>
                <w:right w:val="none" w:sz="0" w:space="0" w:color="auto"/>
              </w:divBdr>
              <w:divsChild>
                <w:div w:id="1824590322">
                  <w:marLeft w:val="0"/>
                  <w:marRight w:val="0"/>
                  <w:marTop w:val="0"/>
                  <w:marBottom w:val="0"/>
                  <w:divBdr>
                    <w:top w:val="none" w:sz="0" w:space="0" w:color="auto"/>
                    <w:left w:val="none" w:sz="0" w:space="0" w:color="auto"/>
                    <w:bottom w:val="none" w:sz="0" w:space="0" w:color="auto"/>
                    <w:right w:val="none" w:sz="0" w:space="0" w:color="auto"/>
                  </w:divBdr>
                  <w:divsChild>
                    <w:div w:id="159254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871519">
      <w:bodyDiv w:val="1"/>
      <w:marLeft w:val="0"/>
      <w:marRight w:val="0"/>
      <w:marTop w:val="0"/>
      <w:marBottom w:val="0"/>
      <w:divBdr>
        <w:top w:val="none" w:sz="0" w:space="0" w:color="auto"/>
        <w:left w:val="none" w:sz="0" w:space="0" w:color="auto"/>
        <w:bottom w:val="none" w:sz="0" w:space="0" w:color="auto"/>
        <w:right w:val="none" w:sz="0" w:space="0" w:color="auto"/>
      </w:divBdr>
      <w:divsChild>
        <w:div w:id="863633740">
          <w:marLeft w:val="0"/>
          <w:marRight w:val="0"/>
          <w:marTop w:val="0"/>
          <w:marBottom w:val="0"/>
          <w:divBdr>
            <w:top w:val="none" w:sz="0" w:space="0" w:color="auto"/>
            <w:left w:val="none" w:sz="0" w:space="0" w:color="auto"/>
            <w:bottom w:val="none" w:sz="0" w:space="0" w:color="auto"/>
            <w:right w:val="none" w:sz="0" w:space="0" w:color="auto"/>
          </w:divBdr>
          <w:divsChild>
            <w:div w:id="581793438">
              <w:marLeft w:val="0"/>
              <w:marRight w:val="0"/>
              <w:marTop w:val="0"/>
              <w:marBottom w:val="0"/>
              <w:divBdr>
                <w:top w:val="none" w:sz="0" w:space="0" w:color="auto"/>
                <w:left w:val="none" w:sz="0" w:space="0" w:color="auto"/>
                <w:bottom w:val="none" w:sz="0" w:space="0" w:color="auto"/>
                <w:right w:val="none" w:sz="0" w:space="0" w:color="auto"/>
              </w:divBdr>
              <w:divsChild>
                <w:div w:id="78717818">
                  <w:marLeft w:val="0"/>
                  <w:marRight w:val="0"/>
                  <w:marTop w:val="0"/>
                  <w:marBottom w:val="0"/>
                  <w:divBdr>
                    <w:top w:val="none" w:sz="0" w:space="0" w:color="auto"/>
                    <w:left w:val="none" w:sz="0" w:space="0" w:color="auto"/>
                    <w:bottom w:val="none" w:sz="0" w:space="0" w:color="auto"/>
                    <w:right w:val="none" w:sz="0" w:space="0" w:color="auto"/>
                  </w:divBdr>
                  <w:divsChild>
                    <w:div w:id="106721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922983">
      <w:bodyDiv w:val="1"/>
      <w:marLeft w:val="0"/>
      <w:marRight w:val="0"/>
      <w:marTop w:val="0"/>
      <w:marBottom w:val="0"/>
      <w:divBdr>
        <w:top w:val="none" w:sz="0" w:space="0" w:color="auto"/>
        <w:left w:val="none" w:sz="0" w:space="0" w:color="auto"/>
        <w:bottom w:val="none" w:sz="0" w:space="0" w:color="auto"/>
        <w:right w:val="none" w:sz="0" w:space="0" w:color="auto"/>
      </w:divBdr>
      <w:divsChild>
        <w:div w:id="798113899">
          <w:marLeft w:val="0"/>
          <w:marRight w:val="0"/>
          <w:marTop w:val="0"/>
          <w:marBottom w:val="0"/>
          <w:divBdr>
            <w:top w:val="none" w:sz="0" w:space="0" w:color="auto"/>
            <w:left w:val="none" w:sz="0" w:space="0" w:color="auto"/>
            <w:bottom w:val="none" w:sz="0" w:space="0" w:color="auto"/>
            <w:right w:val="none" w:sz="0" w:space="0" w:color="auto"/>
          </w:divBdr>
          <w:divsChild>
            <w:div w:id="1290084906">
              <w:marLeft w:val="0"/>
              <w:marRight w:val="0"/>
              <w:marTop w:val="0"/>
              <w:marBottom w:val="0"/>
              <w:divBdr>
                <w:top w:val="none" w:sz="0" w:space="0" w:color="auto"/>
                <w:left w:val="none" w:sz="0" w:space="0" w:color="auto"/>
                <w:bottom w:val="none" w:sz="0" w:space="0" w:color="auto"/>
                <w:right w:val="none" w:sz="0" w:space="0" w:color="auto"/>
              </w:divBdr>
              <w:divsChild>
                <w:div w:id="2036609923">
                  <w:marLeft w:val="0"/>
                  <w:marRight w:val="0"/>
                  <w:marTop w:val="0"/>
                  <w:marBottom w:val="0"/>
                  <w:divBdr>
                    <w:top w:val="none" w:sz="0" w:space="0" w:color="auto"/>
                    <w:left w:val="none" w:sz="0" w:space="0" w:color="auto"/>
                    <w:bottom w:val="none" w:sz="0" w:space="0" w:color="auto"/>
                    <w:right w:val="none" w:sz="0" w:space="0" w:color="auto"/>
                  </w:divBdr>
                  <w:divsChild>
                    <w:div w:id="592737935">
                      <w:marLeft w:val="0"/>
                      <w:marRight w:val="0"/>
                      <w:marTop w:val="0"/>
                      <w:marBottom w:val="0"/>
                      <w:divBdr>
                        <w:top w:val="none" w:sz="0" w:space="0" w:color="auto"/>
                        <w:left w:val="none" w:sz="0" w:space="0" w:color="auto"/>
                        <w:bottom w:val="none" w:sz="0" w:space="0" w:color="auto"/>
                        <w:right w:val="none" w:sz="0" w:space="0" w:color="auto"/>
                      </w:divBdr>
                      <w:divsChild>
                        <w:div w:id="1206335019">
                          <w:marLeft w:val="0"/>
                          <w:marRight w:val="0"/>
                          <w:marTop w:val="0"/>
                          <w:marBottom w:val="0"/>
                          <w:divBdr>
                            <w:top w:val="none" w:sz="0" w:space="0" w:color="auto"/>
                            <w:left w:val="none" w:sz="0" w:space="0" w:color="auto"/>
                            <w:bottom w:val="none" w:sz="0" w:space="0" w:color="auto"/>
                            <w:right w:val="none" w:sz="0" w:space="0" w:color="auto"/>
                          </w:divBdr>
                          <w:divsChild>
                            <w:div w:id="1527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541851">
      <w:bodyDiv w:val="1"/>
      <w:marLeft w:val="0"/>
      <w:marRight w:val="0"/>
      <w:marTop w:val="0"/>
      <w:marBottom w:val="0"/>
      <w:divBdr>
        <w:top w:val="none" w:sz="0" w:space="0" w:color="auto"/>
        <w:left w:val="none" w:sz="0" w:space="0" w:color="auto"/>
        <w:bottom w:val="none" w:sz="0" w:space="0" w:color="auto"/>
        <w:right w:val="none" w:sz="0" w:space="0" w:color="auto"/>
      </w:divBdr>
      <w:divsChild>
        <w:div w:id="1507206526">
          <w:marLeft w:val="0"/>
          <w:marRight w:val="0"/>
          <w:marTop w:val="0"/>
          <w:marBottom w:val="0"/>
          <w:divBdr>
            <w:top w:val="none" w:sz="0" w:space="0" w:color="auto"/>
            <w:left w:val="none" w:sz="0" w:space="0" w:color="auto"/>
            <w:bottom w:val="none" w:sz="0" w:space="0" w:color="auto"/>
            <w:right w:val="none" w:sz="0" w:space="0" w:color="auto"/>
          </w:divBdr>
          <w:divsChild>
            <w:div w:id="850991508">
              <w:marLeft w:val="0"/>
              <w:marRight w:val="0"/>
              <w:marTop w:val="0"/>
              <w:marBottom w:val="0"/>
              <w:divBdr>
                <w:top w:val="none" w:sz="0" w:space="0" w:color="auto"/>
                <w:left w:val="none" w:sz="0" w:space="0" w:color="auto"/>
                <w:bottom w:val="none" w:sz="0" w:space="0" w:color="auto"/>
                <w:right w:val="none" w:sz="0" w:space="0" w:color="auto"/>
              </w:divBdr>
              <w:divsChild>
                <w:div w:id="842432419">
                  <w:marLeft w:val="0"/>
                  <w:marRight w:val="0"/>
                  <w:marTop w:val="0"/>
                  <w:marBottom w:val="0"/>
                  <w:divBdr>
                    <w:top w:val="none" w:sz="0" w:space="0" w:color="auto"/>
                    <w:left w:val="none" w:sz="0" w:space="0" w:color="auto"/>
                    <w:bottom w:val="none" w:sz="0" w:space="0" w:color="auto"/>
                    <w:right w:val="none" w:sz="0" w:space="0" w:color="auto"/>
                  </w:divBdr>
                  <w:divsChild>
                    <w:div w:id="13413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orc.ac.uk/personnel/682.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265B2-63F8-4636-AD92-6E43FDB33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Keene (Human Resources)</dc:creator>
  <cp:keywords/>
  <dc:description/>
  <cp:lastModifiedBy>Jane Keene (Human Resources)</cp:lastModifiedBy>
  <cp:revision>4</cp:revision>
  <dcterms:created xsi:type="dcterms:W3CDTF">2016-05-04T07:28:00Z</dcterms:created>
  <dcterms:modified xsi:type="dcterms:W3CDTF">2016-08-05T08:03:00Z</dcterms:modified>
</cp:coreProperties>
</file>