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76CD" w:rsidR="00867265" w:rsidP="00E04BC3" w:rsidRDefault="00E04BC3" w14:paraId="25F4C1A1" w14:textId="6041E49E">
      <w:pPr>
        <w:pStyle w:val="Title"/>
        <w:jc w:val="center"/>
        <w:rPr>
          <w:b/>
          <w:bCs/>
          <w:sz w:val="40"/>
          <w:szCs w:val="40"/>
        </w:rPr>
      </w:pPr>
      <w:proofErr w:type="spellStart"/>
      <w:r w:rsidRPr="005E76CD">
        <w:rPr>
          <w:b/>
          <w:bCs/>
          <w:sz w:val="40"/>
          <w:szCs w:val="40"/>
        </w:rPr>
        <w:t>ITaP</w:t>
      </w:r>
      <w:proofErr w:type="spellEnd"/>
      <w:r w:rsidRPr="005E76CD">
        <w:rPr>
          <w:b/>
          <w:bCs/>
          <w:sz w:val="40"/>
          <w:szCs w:val="40"/>
        </w:rPr>
        <w:t xml:space="preserve"> Observation – Explanations and Modelling</w:t>
      </w:r>
    </w:p>
    <w:p w:rsidRPr="005E76CD" w:rsidR="00E04BC3" w:rsidP="00E04BC3" w:rsidRDefault="00E04BC3" w14:paraId="3EFDBD1F" w14:textId="77777777">
      <w:pPr>
        <w:rPr>
          <w:sz w:val="10"/>
          <w:szCs w:val="1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6"/>
        <w:gridCol w:w="1051"/>
        <w:gridCol w:w="2871"/>
        <w:gridCol w:w="1762"/>
        <w:gridCol w:w="1636"/>
      </w:tblGrid>
      <w:tr w:rsidRPr="00E337F2" w:rsidR="00E04BC3" w:rsidTr="00B13682" w14:paraId="37128BAE" w14:textId="77777777">
        <w:tc>
          <w:tcPr>
            <w:tcW w:w="1524" w:type="pct"/>
            <w:gridSpan w:val="2"/>
          </w:tcPr>
          <w:p w:rsidRPr="00E337F2" w:rsidR="00E04BC3" w:rsidP="00B13682" w:rsidRDefault="00E04BC3" w14:paraId="62D8FD83" w14:textId="7777777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Trainee: </w:t>
            </w:r>
          </w:p>
        </w:tc>
        <w:tc>
          <w:tcPr>
            <w:tcW w:w="1592" w:type="pct"/>
          </w:tcPr>
          <w:p w:rsidRPr="00E337F2" w:rsidR="00E04BC3" w:rsidP="00B13682" w:rsidRDefault="00E04BC3" w14:paraId="39828506" w14:textId="7777777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Observer: </w:t>
            </w:r>
          </w:p>
        </w:tc>
        <w:tc>
          <w:tcPr>
            <w:tcW w:w="1884" w:type="pct"/>
            <w:gridSpan w:val="2"/>
          </w:tcPr>
          <w:p w:rsidRPr="00E337F2" w:rsidR="00E04BC3" w:rsidP="00B13682" w:rsidRDefault="00E04BC3" w14:paraId="5F360960" w14:textId="5CA9A5A9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>School:</w:t>
            </w:r>
          </w:p>
        </w:tc>
      </w:tr>
      <w:tr w:rsidRPr="00E337F2" w:rsidR="00E04BC3" w:rsidTr="00E04BC3" w14:paraId="3490BA2D" w14:textId="77777777">
        <w:tc>
          <w:tcPr>
            <w:tcW w:w="941" w:type="pct"/>
          </w:tcPr>
          <w:p w:rsidRPr="00E337F2" w:rsidR="00E04BC3" w:rsidP="00B13682" w:rsidRDefault="00E04BC3" w14:paraId="5D8569F3" w14:textId="7777777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Date: </w:t>
            </w:r>
          </w:p>
        </w:tc>
        <w:tc>
          <w:tcPr>
            <w:tcW w:w="3152" w:type="pct"/>
            <w:gridSpan w:val="3"/>
          </w:tcPr>
          <w:p w:rsidRPr="00E337F2" w:rsidR="00E04BC3" w:rsidP="00B13682" w:rsidRDefault="00E04BC3" w14:paraId="623E8404" w14:textId="7777777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Subject &amp; lesson topic: </w:t>
            </w:r>
          </w:p>
        </w:tc>
        <w:tc>
          <w:tcPr>
            <w:tcW w:w="908" w:type="pct"/>
          </w:tcPr>
          <w:p w:rsidRPr="00E337F2" w:rsidR="00E04BC3" w:rsidP="00B13682" w:rsidRDefault="00E04BC3" w14:paraId="135B6725" w14:textId="7777777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Group: </w:t>
            </w:r>
          </w:p>
        </w:tc>
      </w:tr>
    </w:tbl>
    <w:p w:rsidRPr="005E76CD" w:rsidR="005E76CD" w:rsidP="00E04BC3" w:rsidRDefault="005E76CD" w14:paraId="4F4CC14B" w14:textId="77777777">
      <w:pPr>
        <w:rPr>
          <w:sz w:val="10"/>
          <w:szCs w:val="10"/>
        </w:rPr>
      </w:pPr>
    </w:p>
    <w:p w:rsidR="004B2C82" w:rsidP="00E04BC3" w:rsidRDefault="004B2C82" w14:paraId="6370B574" w14:textId="3615D931">
      <w:r>
        <w:t xml:space="preserve">This lesson observation is specifically focussing on </w:t>
      </w:r>
      <w:r w:rsidR="00FE79EC">
        <w:t>explanations</w:t>
      </w:r>
      <w:r w:rsidR="00FE4393">
        <w:t xml:space="preserve"> and modelling, which trainees have had sessions and opportunities to rehearse </w:t>
      </w:r>
      <w:r w:rsidR="00D17696">
        <w:t xml:space="preserve">during the </w:t>
      </w:r>
      <w:proofErr w:type="spellStart"/>
      <w:r w:rsidR="00D17696">
        <w:t>ITaP</w:t>
      </w:r>
      <w:proofErr w:type="spellEnd"/>
      <w:r w:rsidR="00D17696">
        <w:t xml:space="preserve"> week. Now we are reviewing this skill </w:t>
      </w:r>
      <w:r w:rsidR="00626208">
        <w:t>in context</w:t>
      </w:r>
      <w:r w:rsidR="0C722CC6">
        <w:t>.</w:t>
      </w:r>
    </w:p>
    <w:p w:rsidR="0C722CC6" w:rsidP="7E90A431" w:rsidRDefault="0C722CC6" w14:paraId="27CE5F5D" w14:textId="2937A29D">
      <w:r>
        <w:t xml:space="preserve">The observation can be of the whole lesson, or a specific section (e.g. a plenary, or leading a practical component), </w:t>
      </w:r>
      <w:r w:rsidR="332C1921">
        <w:t>but only focus on the explanation and modelling – other</w:t>
      </w:r>
      <w:r w:rsidR="00031966">
        <w:t xml:space="preserve"> </w:t>
      </w:r>
      <w:r w:rsidR="00C24412">
        <w:t>observations</w:t>
      </w:r>
      <w:r w:rsidR="00031966">
        <w:t xml:space="preserve"> will </w:t>
      </w:r>
      <w:proofErr w:type="gramStart"/>
      <w:r w:rsidR="00C24412">
        <w:t>explore</w:t>
      </w:r>
      <w:r w:rsidR="00A17FC0">
        <w:t xml:space="preserve"> </w:t>
      </w:r>
      <w:r w:rsidR="00C24412">
        <w:t xml:space="preserve"> other</w:t>
      </w:r>
      <w:proofErr w:type="gramEnd"/>
      <w:r w:rsidR="00A17FC0">
        <w:t xml:space="preserve"> aspects of </w:t>
      </w:r>
      <w:r w:rsidR="332C1921">
        <w:t>teaching and learning</w:t>
      </w:r>
      <w:r w:rsidR="00C24412"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5387"/>
        <w:gridCol w:w="1984"/>
      </w:tblGrid>
      <w:tr w:rsidR="007E5AED" w:rsidTr="00511F83" w14:paraId="6A54F8D2" w14:textId="77777777">
        <w:tc>
          <w:tcPr>
            <w:tcW w:w="1838" w:type="dxa"/>
          </w:tcPr>
          <w:p w:rsidRPr="00511F83" w:rsidR="007E5AED" w:rsidP="00511F83" w:rsidRDefault="007E5AED" w14:paraId="0E315FA6" w14:textId="50CE536D">
            <w:pPr>
              <w:jc w:val="center"/>
              <w:rPr>
                <w:b/>
                <w:bCs/>
              </w:rPr>
            </w:pPr>
            <w:r w:rsidRPr="00511F83">
              <w:rPr>
                <w:b/>
                <w:bCs/>
              </w:rPr>
              <w:t>Explanations and Modelling Step</w:t>
            </w:r>
          </w:p>
        </w:tc>
        <w:tc>
          <w:tcPr>
            <w:tcW w:w="5387" w:type="dxa"/>
          </w:tcPr>
          <w:p w:rsidRPr="00511F83" w:rsidR="007E5AED" w:rsidP="00511F83" w:rsidRDefault="007E5AED" w14:paraId="671E0306" w14:textId="77777777">
            <w:pPr>
              <w:jc w:val="center"/>
              <w:rPr>
                <w:b/>
                <w:bCs/>
              </w:rPr>
            </w:pPr>
            <w:r w:rsidRPr="00511F83">
              <w:rPr>
                <w:b/>
                <w:bCs/>
              </w:rPr>
              <w:t>What did they do? What techniques did they employ?</w:t>
            </w:r>
          </w:p>
          <w:p w:rsidRPr="00511F83" w:rsidR="007E5AED" w:rsidP="00511F83" w:rsidRDefault="007E5AED" w14:paraId="172F0F24" w14:textId="0566EDE0">
            <w:pPr>
              <w:jc w:val="center"/>
              <w:rPr>
                <w:b/>
                <w:bCs/>
              </w:rPr>
            </w:pPr>
            <w:r w:rsidRPr="00511F83">
              <w:rPr>
                <w:b/>
                <w:bCs/>
              </w:rPr>
              <w:t>What was the impact of this for the learners? How effective was it?</w:t>
            </w:r>
          </w:p>
        </w:tc>
        <w:tc>
          <w:tcPr>
            <w:tcW w:w="1984" w:type="dxa"/>
          </w:tcPr>
          <w:p w:rsidRPr="00511F83" w:rsidR="007E5AED" w:rsidP="00511F83" w:rsidRDefault="007E5AED" w14:paraId="44C8E70F" w14:textId="3E7716B5">
            <w:pPr>
              <w:jc w:val="center"/>
              <w:rPr>
                <w:b/>
                <w:bCs/>
              </w:rPr>
            </w:pPr>
            <w:r w:rsidRPr="00511F83">
              <w:rPr>
                <w:b/>
                <w:bCs/>
              </w:rPr>
              <w:t>Questions for the post lesson discussion</w:t>
            </w:r>
          </w:p>
        </w:tc>
      </w:tr>
      <w:tr w:rsidR="007E5AED" w:rsidTr="00511F83" w14:paraId="2C6548D4" w14:textId="77777777">
        <w:tc>
          <w:tcPr>
            <w:tcW w:w="1838" w:type="dxa"/>
          </w:tcPr>
          <w:p w:rsidR="007E5AED" w:rsidP="2A3B339F" w:rsidRDefault="006C512B" w14:paraId="0D375AAE" w14:textId="651DE869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t>Hook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capturing students’ interest in the new content</w:t>
            </w:r>
            <w:r w:rsidR="004406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e.g. “why” </w:t>
            </w:r>
            <w:proofErr w:type="gramStart"/>
            <w:r w:rsidR="004406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first</w:t>
            </w:r>
            <w:proofErr w:type="gram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7E5AED" w:rsidP="2A3B339F" w:rsidRDefault="007E5AED" w14:paraId="35BCDC68" w14:textId="6110CDB9"/>
          <w:p w:rsidR="007E5AED" w:rsidP="2A3B339F" w:rsidRDefault="007E5AED" w14:paraId="58DA9057" w14:textId="5478AF18"/>
        </w:tc>
        <w:tc>
          <w:tcPr>
            <w:tcW w:w="5387" w:type="dxa"/>
          </w:tcPr>
          <w:p w:rsidR="007E5AED" w:rsidP="00E04BC3" w:rsidRDefault="007E5AED" w14:paraId="4847990B" w14:textId="7C639385"/>
          <w:p w:rsidR="007E5AED" w:rsidP="2A3B339F" w:rsidRDefault="007E5AED" w14:paraId="149097C4" w14:textId="03576239"/>
          <w:p w:rsidR="007E5AED" w:rsidP="2A3B339F" w:rsidRDefault="007E5AED" w14:paraId="496F9DE9" w14:textId="2893A219"/>
          <w:p w:rsidR="007E5AED" w:rsidP="2A3B339F" w:rsidRDefault="007E5AED" w14:paraId="558EA603" w14:textId="0A4EAF4A"/>
          <w:p w:rsidR="007E5AED" w:rsidP="2A3B339F" w:rsidRDefault="007E5AED" w14:paraId="53E043B4" w14:textId="7B2E9B42"/>
        </w:tc>
        <w:tc>
          <w:tcPr>
            <w:tcW w:w="1984" w:type="dxa"/>
          </w:tcPr>
          <w:p w:rsidR="007E5AED" w:rsidP="00E04BC3" w:rsidRDefault="007E5AED" w14:paraId="4C95DDA8" w14:textId="77777777"/>
        </w:tc>
      </w:tr>
      <w:tr w:rsidR="007E5AED" w:rsidTr="00511F83" w14:paraId="30D9D911" w14:textId="77777777">
        <w:tc>
          <w:tcPr>
            <w:tcW w:w="1838" w:type="dxa"/>
          </w:tcPr>
          <w:p w:rsidR="007E5AED" w:rsidP="2A3B339F" w:rsidRDefault="00C90AAE" w14:paraId="44A7BBD7" w14:textId="4CC25B87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t>Schema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Framing the new content in the context of what they already know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e</w:t>
            </w:r>
            <w:r>
              <w:rPr>
                <w:rStyle w:val="eop"/>
              </w:rPr>
              <w:t>.g. “zoom in, zoom out”, “Embedding new vocabulary”, “Concrete to concept”</w:t>
            </w:r>
          </w:p>
        </w:tc>
        <w:tc>
          <w:tcPr>
            <w:tcW w:w="5387" w:type="dxa"/>
          </w:tcPr>
          <w:p w:rsidR="007E5AED" w:rsidP="00E04BC3" w:rsidRDefault="007E5AED" w14:paraId="7BCDA34F" w14:textId="391FA855"/>
          <w:p w:rsidR="007E5AED" w:rsidP="2A3B339F" w:rsidRDefault="007E5AED" w14:paraId="5EC7943B" w14:textId="74F02E9C"/>
          <w:p w:rsidR="007E5AED" w:rsidP="2A3B339F" w:rsidRDefault="007E5AED" w14:paraId="594460F4" w14:textId="3A59B872"/>
          <w:p w:rsidR="007E5AED" w:rsidP="2A3B339F" w:rsidRDefault="007E5AED" w14:paraId="3CB42525" w14:textId="58BA3522"/>
          <w:p w:rsidR="007E5AED" w:rsidP="2A3B339F" w:rsidRDefault="007E5AED" w14:paraId="71DE043D" w14:textId="75288219"/>
        </w:tc>
        <w:tc>
          <w:tcPr>
            <w:tcW w:w="1984" w:type="dxa"/>
          </w:tcPr>
          <w:p w:rsidR="007E5AED" w:rsidP="00E04BC3" w:rsidRDefault="007E5AED" w14:paraId="067E2839" w14:textId="77777777"/>
        </w:tc>
      </w:tr>
      <w:tr w:rsidR="007E5AED" w:rsidTr="00511F83" w14:paraId="6C1ECEF0" w14:textId="77777777">
        <w:tc>
          <w:tcPr>
            <w:tcW w:w="1838" w:type="dxa"/>
          </w:tcPr>
          <w:p w:rsidR="007E5AED" w:rsidP="2A3B339F" w:rsidRDefault="00F46254" w14:paraId="685CC2F7" w14:textId="7DC3421F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t>Structure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chunking up new knowledge in no more than 4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chunks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 e.g.</w:t>
            </w:r>
            <w:proofErr w:type="gram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“scaffolding”, “worked examples”, “live modelling”</w:t>
            </w:r>
          </w:p>
          <w:p w:rsidR="007E5AED" w:rsidP="2A3B339F" w:rsidRDefault="007E5AED" w14:paraId="40D0A8B7" w14:textId="58A69FF6"/>
          <w:p w:rsidR="007E5AED" w:rsidP="2A3B339F" w:rsidRDefault="007E5AED" w14:paraId="5C98905B" w14:textId="5940D4D4"/>
          <w:p w:rsidR="007E5AED" w:rsidP="2A3B339F" w:rsidRDefault="007E5AED" w14:paraId="73A5F678" w14:textId="3570687F"/>
          <w:p w:rsidR="007E5AED" w:rsidP="2A3B339F" w:rsidRDefault="007E5AED" w14:paraId="29C03C56" w14:textId="77AC8C4D"/>
          <w:p w:rsidR="007E5AED" w:rsidP="2A3B339F" w:rsidRDefault="007E5AED" w14:paraId="30692A28" w14:textId="7812F077"/>
        </w:tc>
        <w:tc>
          <w:tcPr>
            <w:tcW w:w="5387" w:type="dxa"/>
          </w:tcPr>
          <w:p w:rsidR="007E5AED" w:rsidP="00E04BC3" w:rsidRDefault="007E5AED" w14:paraId="367F2A16" w14:textId="7200D514"/>
          <w:p w:rsidR="007E5AED" w:rsidP="2A3B339F" w:rsidRDefault="007E5AED" w14:paraId="6FAA6A40" w14:textId="4241D3D9"/>
          <w:p w:rsidR="007E5AED" w:rsidP="2A3B339F" w:rsidRDefault="007E5AED" w14:paraId="60A0C180" w14:textId="01A9EE50"/>
          <w:p w:rsidR="007E5AED" w:rsidP="2A3B339F" w:rsidRDefault="007E5AED" w14:paraId="0C1C18AF" w14:textId="19DE0F3D"/>
          <w:p w:rsidR="007E5AED" w:rsidP="2A3B339F" w:rsidRDefault="007E5AED" w14:paraId="4D831739" w14:textId="0BEF4405"/>
        </w:tc>
        <w:tc>
          <w:tcPr>
            <w:tcW w:w="1984" w:type="dxa"/>
          </w:tcPr>
          <w:p w:rsidR="007E5AED" w:rsidP="00E04BC3" w:rsidRDefault="007E5AED" w14:paraId="6C90050E" w14:textId="77777777"/>
        </w:tc>
      </w:tr>
      <w:tr w:rsidR="007E5AED" w:rsidTr="00511F83" w14:paraId="775C377D" w14:textId="77777777">
        <w:tc>
          <w:tcPr>
            <w:tcW w:w="1838" w:type="dxa"/>
          </w:tcPr>
          <w:p w:rsidR="007E5AED" w:rsidP="2A3B339F" w:rsidRDefault="005E76CD" w14:paraId="33F8551C" w14:textId="314C31ED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lastRenderedPageBreak/>
              <w:t>Check in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Ensuring that knowledge is secure before moving on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 e.g. “I do, we do, you do/backward </w:t>
            </w:r>
            <w:proofErr w:type="gram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fading”</w:t>
            </w:r>
            <w:proofErr w:type="gramEnd"/>
          </w:p>
          <w:p w:rsidR="007E5AED" w:rsidP="2A3B339F" w:rsidRDefault="007E5AED" w14:paraId="49C37CE8" w14:textId="4E8FABAB"/>
          <w:p w:rsidR="007E5AED" w:rsidP="2A3B339F" w:rsidRDefault="007E5AED" w14:paraId="4C9C9BCF" w14:textId="3F3EA54B"/>
          <w:p w:rsidR="007E5AED" w:rsidP="2A3B339F" w:rsidRDefault="007E5AED" w14:paraId="7EED3CA1" w14:textId="0F41784D"/>
          <w:p w:rsidR="007E5AED" w:rsidP="2A3B339F" w:rsidRDefault="007E5AED" w14:paraId="585D6419" w14:textId="64A072BD"/>
          <w:p w:rsidR="007E5AED" w:rsidP="2A3B339F" w:rsidRDefault="007E5AED" w14:paraId="74F5B9E8" w14:textId="678DD1B6"/>
        </w:tc>
        <w:tc>
          <w:tcPr>
            <w:tcW w:w="5387" w:type="dxa"/>
          </w:tcPr>
          <w:p w:rsidR="007E5AED" w:rsidP="00E04BC3" w:rsidRDefault="007E5AED" w14:paraId="6D38F617" w14:textId="2FFF4462"/>
          <w:p w:rsidR="007E5AED" w:rsidP="2A3B339F" w:rsidRDefault="007E5AED" w14:paraId="70909A82" w14:textId="78D6C4E9"/>
          <w:p w:rsidR="007E5AED" w:rsidP="2A3B339F" w:rsidRDefault="007E5AED" w14:paraId="1F22D1AD" w14:textId="0D929569"/>
          <w:p w:rsidR="007E5AED" w:rsidP="2A3B339F" w:rsidRDefault="007E5AED" w14:paraId="7AFE042F" w14:textId="5216A702"/>
          <w:p w:rsidR="007E5AED" w:rsidP="2A3B339F" w:rsidRDefault="007E5AED" w14:paraId="11E9E8B4" w14:textId="6C11BFBE"/>
        </w:tc>
        <w:tc>
          <w:tcPr>
            <w:tcW w:w="1984" w:type="dxa"/>
          </w:tcPr>
          <w:p w:rsidR="007E5AED" w:rsidP="00E04BC3" w:rsidRDefault="007E5AED" w14:paraId="35A43399" w14:textId="77777777"/>
        </w:tc>
      </w:tr>
    </w:tbl>
    <w:p w:rsidR="006D5F31" w:rsidP="00E04BC3" w:rsidRDefault="006D5F31" w14:paraId="7ED8BFE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C80" w:rsidTr="2A3B339F" w14:paraId="68B92494" w14:textId="77777777">
        <w:tc>
          <w:tcPr>
            <w:tcW w:w="9016" w:type="dxa"/>
          </w:tcPr>
          <w:p w:rsidR="00F00C80" w:rsidP="00E04BC3" w:rsidRDefault="41DC2E3A" w14:paraId="62F95DB3" w14:textId="02FF097A">
            <w:r>
              <w:t>Explanations and Modelling Target</w:t>
            </w:r>
            <w:r w:rsidR="6CBA63BA">
              <w:t>:</w:t>
            </w:r>
          </w:p>
          <w:p w:rsidR="00F00C80" w:rsidP="2A3B339F" w:rsidRDefault="00F00C80" w14:paraId="70277FE1" w14:textId="1720AF40"/>
          <w:p w:rsidR="00F00C80" w:rsidP="2A3B339F" w:rsidRDefault="00F00C80" w14:paraId="33348EE9" w14:textId="2305D36E"/>
          <w:p w:rsidR="00F00C80" w:rsidP="2A3B339F" w:rsidRDefault="00F00C80" w14:paraId="355991B2" w14:textId="37DC8D8E"/>
          <w:p w:rsidR="00F00C80" w:rsidP="2A3B339F" w:rsidRDefault="00F00C80" w14:paraId="2420FE46" w14:textId="6FB223AD"/>
          <w:p w:rsidR="00F00C80" w:rsidP="2A3B339F" w:rsidRDefault="00F00C80" w14:paraId="4F36A568" w14:textId="0BF934A7"/>
          <w:p w:rsidR="00F00C80" w:rsidP="2A3B339F" w:rsidRDefault="00F00C80" w14:paraId="02DE88C2" w14:textId="31FA524D"/>
          <w:p w:rsidR="00F00C80" w:rsidP="2A3B339F" w:rsidRDefault="00F00C80" w14:paraId="2382FA39" w14:textId="3D7DB403"/>
          <w:p w:rsidR="00F00C80" w:rsidP="2A3B339F" w:rsidRDefault="00F00C80" w14:paraId="1D7CDA98" w14:textId="00D43F2D"/>
          <w:p w:rsidR="00F00C80" w:rsidP="2A3B339F" w:rsidRDefault="00F00C80" w14:paraId="5862E9EA" w14:textId="623A7CF6"/>
          <w:p w:rsidR="00F00C80" w:rsidP="2A3B339F" w:rsidRDefault="00F00C80" w14:paraId="757370BE" w14:textId="416E2F3C"/>
        </w:tc>
      </w:tr>
    </w:tbl>
    <w:p w:rsidRPr="00E04BC3" w:rsidR="00F00C80" w:rsidP="00E04BC3" w:rsidRDefault="00F00C80" w14:paraId="534C2AE4" w14:textId="77777777"/>
    <w:sectPr w:rsidRPr="00E04BC3" w:rsidR="00F00C80" w:rsidSect="005E76CD">
      <w:headerReference w:type="default" r:id="rId9"/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6D4E" w14:textId="77777777" w:rsidR="002773E7" w:rsidRDefault="002773E7" w:rsidP="00E04BC3">
      <w:pPr>
        <w:spacing w:after="0" w:line="240" w:lineRule="auto"/>
      </w:pPr>
      <w:r>
        <w:separator/>
      </w:r>
    </w:p>
  </w:endnote>
  <w:endnote w:type="continuationSeparator" w:id="0">
    <w:p w14:paraId="27E7A354" w14:textId="77777777" w:rsidR="002773E7" w:rsidRDefault="002773E7" w:rsidP="00E04BC3">
      <w:pPr>
        <w:spacing w:after="0" w:line="240" w:lineRule="auto"/>
      </w:pPr>
      <w:r>
        <w:continuationSeparator/>
      </w:r>
    </w:p>
  </w:endnote>
  <w:endnote w:type="continuationNotice" w:id="1">
    <w:p w14:paraId="2B628B72" w14:textId="77777777" w:rsidR="002773E7" w:rsidRDefault="00277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85A6" w14:textId="31AA5251" w:rsidR="0071583E" w:rsidRPr="00AD133F" w:rsidRDefault="0071583E" w:rsidP="00AD133F">
    <w:pPr>
      <w:rPr>
        <w:rFonts w:cstheme="minorHAnsi"/>
        <w:sz w:val="20"/>
        <w:szCs w:val="20"/>
      </w:rPr>
    </w:pPr>
    <w:r w:rsidRPr="00AD133F">
      <w:rPr>
        <w:rFonts w:cstheme="minorHAnsi"/>
        <w:sz w:val="20"/>
        <w:szCs w:val="20"/>
      </w:rPr>
      <w:t xml:space="preserve">Mentors should keep a copy of this form for their records. A copy must be given to the trainee within one day of the observation. This must be uploaded to </w:t>
    </w:r>
    <w:proofErr w:type="spellStart"/>
    <w:r w:rsidRPr="00AD133F">
      <w:rPr>
        <w:rFonts w:cstheme="minorHAnsi"/>
        <w:sz w:val="20"/>
        <w:szCs w:val="20"/>
      </w:rPr>
      <w:t>ITaP</w:t>
    </w:r>
    <w:proofErr w:type="spellEnd"/>
    <w:r w:rsidRPr="00AD133F">
      <w:rPr>
        <w:rFonts w:cstheme="minorHAnsi"/>
        <w:sz w:val="20"/>
        <w:szCs w:val="20"/>
      </w:rPr>
      <w:t xml:space="preserve"> section of </w:t>
    </w:r>
    <w:proofErr w:type="spellStart"/>
    <w:r w:rsidRPr="00AD133F">
      <w:rPr>
        <w:rFonts w:cstheme="minorHAnsi"/>
        <w:sz w:val="20"/>
        <w:szCs w:val="20"/>
      </w:rPr>
      <w:t>PebblePad</w:t>
    </w:r>
    <w:proofErr w:type="spellEnd"/>
    <w:r w:rsidRPr="00AD133F">
      <w:rPr>
        <w:rFonts w:cstheme="minorHAnsi"/>
        <w:sz w:val="20"/>
        <w:szCs w:val="20"/>
      </w:rPr>
      <w:t xml:space="preserve"> for subject tutors to review. Two formal observations are needed per week. Issues raised on this sheet will be discussed during post lesson conversations which goes beyond these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ED78" w14:textId="77777777" w:rsidR="002773E7" w:rsidRDefault="002773E7" w:rsidP="00E04BC3">
      <w:pPr>
        <w:spacing w:after="0" w:line="240" w:lineRule="auto"/>
      </w:pPr>
      <w:r>
        <w:separator/>
      </w:r>
    </w:p>
  </w:footnote>
  <w:footnote w:type="continuationSeparator" w:id="0">
    <w:p w14:paraId="4E516345" w14:textId="77777777" w:rsidR="002773E7" w:rsidRDefault="002773E7" w:rsidP="00E04BC3">
      <w:pPr>
        <w:spacing w:after="0" w:line="240" w:lineRule="auto"/>
      </w:pPr>
      <w:r>
        <w:continuationSeparator/>
      </w:r>
    </w:p>
  </w:footnote>
  <w:footnote w:type="continuationNotice" w:id="1">
    <w:p w14:paraId="570FA60D" w14:textId="77777777" w:rsidR="002773E7" w:rsidRDefault="002773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01C1" w14:textId="6AAC29FD" w:rsidR="00E04BC3" w:rsidRDefault="00E04B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3C0B9" wp14:editId="37B0B504">
          <wp:simplePos x="0" y="0"/>
          <wp:positionH relativeFrom="column">
            <wp:posOffset>5095875</wp:posOffset>
          </wp:positionH>
          <wp:positionV relativeFrom="paragraph">
            <wp:posOffset>-211455</wp:posOffset>
          </wp:positionV>
          <wp:extent cx="1223645" cy="533400"/>
          <wp:effectExtent l="0" t="0" r="0" b="0"/>
          <wp:wrapSquare wrapText="bothSides"/>
          <wp:docPr id="1129036495" name="Picture 1129036495" descr="University of Worcester Institute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036495" name="Picture 1129036495" descr="University of Worcester Institute of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C3"/>
    <w:rsid w:val="00031966"/>
    <w:rsid w:val="002773E7"/>
    <w:rsid w:val="002E7578"/>
    <w:rsid w:val="00301F20"/>
    <w:rsid w:val="004406C1"/>
    <w:rsid w:val="004621A7"/>
    <w:rsid w:val="004927F1"/>
    <w:rsid w:val="004B2C82"/>
    <w:rsid w:val="004D5401"/>
    <w:rsid w:val="00511F83"/>
    <w:rsid w:val="005128EE"/>
    <w:rsid w:val="005E76CD"/>
    <w:rsid w:val="00626208"/>
    <w:rsid w:val="006C512B"/>
    <w:rsid w:val="006D5F31"/>
    <w:rsid w:val="0071583E"/>
    <w:rsid w:val="007E5AED"/>
    <w:rsid w:val="00867265"/>
    <w:rsid w:val="00914635"/>
    <w:rsid w:val="009A5127"/>
    <w:rsid w:val="00A17FC0"/>
    <w:rsid w:val="00A63657"/>
    <w:rsid w:val="00A97DFC"/>
    <w:rsid w:val="00AD133F"/>
    <w:rsid w:val="00BA276F"/>
    <w:rsid w:val="00C24412"/>
    <w:rsid w:val="00C90AAE"/>
    <w:rsid w:val="00D17696"/>
    <w:rsid w:val="00D81903"/>
    <w:rsid w:val="00E04BC3"/>
    <w:rsid w:val="00ED3E79"/>
    <w:rsid w:val="00F00C80"/>
    <w:rsid w:val="00F212DA"/>
    <w:rsid w:val="00F46254"/>
    <w:rsid w:val="00FE4393"/>
    <w:rsid w:val="00FE79EC"/>
    <w:rsid w:val="0C722CC6"/>
    <w:rsid w:val="0D14C12D"/>
    <w:rsid w:val="189B1DB9"/>
    <w:rsid w:val="1ED8A233"/>
    <w:rsid w:val="2A3B339F"/>
    <w:rsid w:val="304C55D7"/>
    <w:rsid w:val="332C1921"/>
    <w:rsid w:val="376C29C7"/>
    <w:rsid w:val="41DC2E3A"/>
    <w:rsid w:val="43AA64D7"/>
    <w:rsid w:val="4D731024"/>
    <w:rsid w:val="536B5AE4"/>
    <w:rsid w:val="596DA9AB"/>
    <w:rsid w:val="6020AA6E"/>
    <w:rsid w:val="61BC7ACF"/>
    <w:rsid w:val="6ABD3CF1"/>
    <w:rsid w:val="6BA0F302"/>
    <w:rsid w:val="6CBA63BA"/>
    <w:rsid w:val="7E90A431"/>
    <w:rsid w:val="7EB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9FA05"/>
  <w15:chartTrackingRefBased/>
  <w15:docId w15:val="{4EBEA932-4255-47A5-B314-641F3BD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B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0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C3"/>
  </w:style>
  <w:style w:type="paragraph" w:styleId="Footer">
    <w:name w:val="footer"/>
    <w:basedOn w:val="Normal"/>
    <w:link w:val="FooterChar"/>
    <w:uiPriority w:val="99"/>
    <w:unhideWhenUsed/>
    <w:rsid w:val="00E0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C3"/>
  </w:style>
  <w:style w:type="table" w:styleId="TableGrid">
    <w:name w:val="Table Grid"/>
    <w:basedOn w:val="TableNormal"/>
    <w:uiPriority w:val="39"/>
    <w:rsid w:val="00E0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C512B"/>
  </w:style>
  <w:style w:type="character" w:customStyle="1" w:styleId="eop">
    <w:name w:val="eop"/>
    <w:basedOn w:val="DefaultParagraphFont"/>
    <w:rsid w:val="006C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0BA3544AA4CBEAD12FB197FF310" ma:contentTypeVersion="27" ma:contentTypeDescription="Create a new document." ma:contentTypeScope="" ma:versionID="37cab5a4ec55d43d7f9e3033ab09f87d">
  <xsd:schema xmlns:xsd="http://www.w3.org/2001/XMLSchema" xmlns:xs="http://www.w3.org/2001/XMLSchema" xmlns:p="http://schemas.microsoft.com/office/2006/metadata/properties" xmlns:ns2="e58388b9-b7a3-4d3f-ab8d-864c02cd46ee" xmlns:ns3="8be23b67-6b90-4bdf-adf4-0189efa2c8be" targetNamespace="http://schemas.microsoft.com/office/2006/metadata/properties" ma:root="true" ma:fieldsID="bf104499129d414a37fafb70b623f9dc" ns2:_="" ns3:_="">
    <xsd:import namespace="e58388b9-b7a3-4d3f-ab8d-864c02cd46ee"/>
    <xsd:import namespace="8be23b67-6b90-4bdf-adf4-0189efa2c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q02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est_Score" minOccurs="0"/>
                <xsd:element ref="ns2:Test_Dat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88b9-b7a3-4d3f-ab8d-864c02c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q02a" ma:index="19" nillable="true" ma:displayName="Person or Group" ma:list="UserInfo" ma:internalName="q02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_Score" ma:index="24" nillable="true" ma:displayName="Test_Score" ma:internalName="Test_Score" ma:percentage="TRUE">
      <xsd:simpleType>
        <xsd:restriction base="dms:Number"/>
      </xsd:simpleType>
    </xsd:element>
    <xsd:element name="Test_Date" ma:index="25" nillable="true" ma:displayName="Test_Date" ma:format="DateOnly" ma:internalName="Test_Date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3b67-6b90-4bdf-adf4-0189efa2c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637395-c46d-4f67-9ba8-23466c3a398c}" ma:internalName="TaxCatchAll" ma:showField="CatchAllData" ma:web="8be23b67-6b90-4bdf-adf4-0189efa2c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388b9-b7a3-4d3f-ab8d-864c02cd46ee">
      <Terms xmlns="http://schemas.microsoft.com/office/infopath/2007/PartnerControls"/>
    </lcf76f155ced4ddcb4097134ff3c332f>
    <Test_Date xmlns="e58388b9-b7a3-4d3f-ab8d-864c02cd46ee" xsi:nil="true"/>
    <q02a xmlns="e58388b9-b7a3-4d3f-ab8d-864c02cd46ee">
      <UserInfo>
        <DisplayName/>
        <AccountId xsi:nil="true"/>
        <AccountType/>
      </UserInfo>
    </q02a>
    <TaxCatchAll xmlns="8be23b67-6b90-4bdf-adf4-0189efa2c8be" xsi:nil="true"/>
    <Test_Score xmlns="e58388b9-b7a3-4d3f-ab8d-864c02cd46ee" xsi:nil="true"/>
    <_Flow_SignoffStatus xmlns="e58388b9-b7a3-4d3f-ab8d-864c02cd46ee" xsi:nil="true"/>
  </documentManagement>
</p:properties>
</file>

<file path=customXml/itemProps1.xml><?xml version="1.0" encoding="utf-8"?>
<ds:datastoreItem xmlns:ds="http://schemas.openxmlformats.org/officeDocument/2006/customXml" ds:itemID="{F5214347-D15B-4CF4-BD1F-1422616BF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E5FF2-3D4F-42C7-ACA0-D315725A7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388b9-b7a3-4d3f-ab8d-864c02cd46ee"/>
    <ds:schemaRef ds:uri="8be23b67-6b90-4bdf-adf4-0189efa2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5366C-6C16-47D1-8029-C0A56F6D3B39}">
  <ds:schemaRefs>
    <ds:schemaRef ds:uri="http://schemas.microsoft.com/office/2006/metadata/properties"/>
    <ds:schemaRef ds:uri="http://schemas.microsoft.com/office/infopath/2007/PartnerControls"/>
    <ds:schemaRef ds:uri="e58388b9-b7a3-4d3f-ab8d-864c02cd46ee"/>
    <ds:schemaRef ds:uri="8be23b67-6b90-4bdf-adf4-0189efa2c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Office Word</Application>
  <DocSecurity>0</DocSecurity>
  <Lines>9</Lines>
  <Paragraphs>2</Paragraphs>
  <ScaleCrop>false</ScaleCrop>
  <Company>University of Worcester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ITAP1 E&amp;M Observation of trainees</dc:title>
  <dc:subject>
  </dc:subject>
  <dc:creator>Sarah Emmerson</dc:creator>
  <cp:keywords>
  </cp:keywords>
  <dc:description>
  </dc:description>
  <cp:lastModifiedBy>z.parmenter</cp:lastModifiedBy>
  <cp:revision>3</cp:revision>
  <dcterms:created xsi:type="dcterms:W3CDTF">2024-01-30T17:21:00Z</dcterms:created>
  <dcterms:modified xsi:type="dcterms:W3CDTF">2024-01-31T09:29:28Z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0x0101003CADA0BA3544AA4CBEAD12FB197FF310</vt:lpwstr>
  </property>
  <property fmtid="{D5CDD505-2E9C-101B-9397-08002B2CF9AE}" pid="3" name="MediaServiceImageTags">
    <vt:lpwstr/>
  </property>
</Properties>
</file>